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BTE</w:t>
      </w:r>
      <w:r>
        <w:rPr>
          <w:rFonts w:ascii="Calibri" w:hAnsi="Calibri"/>
          <w:b/>
          <w:color w:val="1A2010"/>
          <w:sz w:val="40"/>
        </w:rPr>
        <w:t xml:space="preserve">  Baytex Energy Corp.</w:t>
      </w:r>
    </w:p>
    <w:p>
      <w:pPr>
        <w:spacing w:after="120"/>
      </w:pPr>
      <w:r>
        <w:rPr>
          <w:rFonts w:ascii="Calibri" w:hAnsi="Calibri"/>
          <w:b/>
          <w:color w:val="6E8450"/>
          <w:sz w:val="18"/>
        </w:rPr>
        <w:t>GROWTH SLEEVE · 2026-10-04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Canada</w:t>
      </w:r>
    </w:p>
    <w:p>
      <w:pPr>
        <w:spacing w:after="80"/>
      </w:pPr>
      <w:r>
        <w:rPr>
          <w:rFonts w:ascii="Calibri" w:hAnsi="Calibri"/>
          <w:b w:val="0"/>
          <w:color w:val="3A4A28"/>
          <w:sz w:val="20"/>
        </w:rPr>
        <w:t>Baytex Energy Corp. is a Canadian-based energy company engaged in the acquisition, development, and production of crude oil and natural gas in Western Canada and the United States. Following the transformative 2023 acquisition of Ranger Oil Corporation, Baytex operates in the Eagle Ford Shale in Texas and multiple Western Canadian basins including Peace River and Viking. Production averaged 71,200 boe/d in Q2 2026, representing 11% YoY growth. The company achieved a net cash position and targets 6-8% annual production growth over a 3-year outlook. New CEO Chad Lundberg assumed leadership in May 2026. Headquartered in Calgary, Alberta.</w:t>
      </w:r>
    </w:p>
    <w:p>
      <w:r>
        <w:rPr>
          <w:rFonts w:ascii="Calibri" w:hAnsi="Calibri"/>
          <w:b/>
          <w:color w:val="6E8450"/>
          <w:sz w:val="18"/>
        </w:rPr>
        <w:t>650 Employees · https://www.baytexenergy.com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2023 Ranger Oil acquisition was a transformative deal that doubled Baytex's production and gave it entry into the premium Eagle Ford Shale in Texas, fundamentally expanding the company from a purely Canadian E&amp;P to a North American operator [1][2]. Q2 2026 production of 71,200 boe/d (+11% YoY) and the updated 3-year outlook targeting 6-8% annual growth demonstrate successful integration execution. However, this is conventional E&amp;P consolidation, not technological or business model innovation. AI Deployment (0/2): Baytex has no AI products shipping and no quantified AI-driven savings. The company acknowledges AI risk in its 10-K disclosures (data privacy, flawed algorithms, regulatory uncertainty) but has not deployed AI as a revenue or efficiency tool [3]. Market Share (0/2): Baytex is a mid-size E&amp;P with approximately $3.2B market cap and 71,200 boe/d production — a meaningful but undifferentiated player in the massive North American E&amp;P sector. Product Pipeline (1/2): Updated 3-year outlook targets 6-8% annual production growth with a Q4 2026 exit rate of 72,000 boe/d while maintaining a net cash position, providing specific timeline and production visibility [1][2]. R&amp;D Intensity (0/1): No R&amp;D investment as a conventional E&amp;P operator.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Baytex describes itself as 'a Canadian-based energy company' focused on oil and gas acquisition and production — a generic description interchangeable with any mid-size E&amp;P company; it does not articulate a deeper purpose or vision beyond commodity extraction [4]. Community Impact (1/2): Baytex spent $22.4M on abandonment and reclamation activities in 2022, completed a record 397 well abandonments, reduced fresh water intensity 17% from its 2020 baseline, and re-used approximately 67% of produced water [4]. These are meaningful environmental stewardship commitments, though partly driven by regulatory obligations. Employee Retention (0/2): CEO transition in progress — Chad Lundberg assumed the CEO role in May 2026 after serving as President and COO since 2025, replacing Eric Greager [3]. While the transition appears orderly, the leadership change itself creates uncertainty, and no specific employee retention or turnover data is publicly available. Insider Buying (0/2): No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(PEG excluded due to unavailability). D/E of 6.9% is exceptionally low, scoring 1.0 — reflecting Baytex's aggressive debt repayment and achievement of a net cash position, a remarkable transformation from the leveraged balance sheet following the 2023 Ranger acquisition [1][5]. Revenue growth YoY of 51.3% dramatically exceeds the 10% target, driven by the Ranger acquisition anniversary and higher realized prices [1][2]. Forward P/E of 16.7 is below the 20 target, scoring 1.0. However, trailing ROE of -8.8% scores 0 and trailing profit margin of -42.9% scores 0 — both distorted by Q1 2026 impairment charges, as Q2 delivered positive adjusted earnings of $0.24/share [1][2]. 5-year revenue CAGR estimated at approximately 15%, reflecting the Ranger acquisition impact, scoring 1.0 at 2x weight. Liquidity: $77.4M daily dollar volume is substantial.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Baytex is a competently managed E&amp;P company that plays a finite game — the Ranger Oil acquisition was a bold operational move, the CEO transition appears orderly, and the balance sheet has been dramatically strengthened. But Sinek would observe that Baytex exists to extract and sell a commodity, with no articulated purpose beyond production growth and shareholder returns. The company's strategic decisions are driven by capital efficiency and production targets rather than by a vision of a better future. Strong governance (all-independent board committees, ESG targets in bonuses) provides a foundation for trust but does not constitute infinite game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Baytex exists to acquire, develop, and produce oil and natural gas — there is no articulated vision of a better future, no Just Cause that would inspire people to sacrifice in its advancement [4]. The company's strategic language focuses on 'production growth,' 'capital discipline,' and 'shareholder returns' — all finite objectives. Sinek would classify this as a company playing to win this quarter, not to keep playing.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Eric Greager to Chad Lundberg in May 2026 appears orderly — Lundberg served as President and COO since 2025 and has been with Baytex since 2018, suggesting internal succession rather than disruptive change [3]. All board committees (Audit, HR/Compensation, Nominating/Governance, Reserves/Sustainability) are composed solely of independent directors [4]. Annual bonus scorecard includes ESG targets for safety, spills, and GHG emissions, demonstrating organizational alignment. However, no specific employee retention or turnover data is available for the approximately 650-person workforce.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Baytex's competitive positioning is based on asset quality (Eagle Ford, Peace River), production efficiency, and balance sheet strength rather than any acknowledgment of worthy rivals or self-improvement orientation [1][4]. The company does not reference competitors in a way that suggests learning from their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2023 Ranger Oil acquisition was a significant strategic move that transformed Baytex from a purely Canadian E&amp;P into a North American operator with premium Eagle Ford Shale assets [1][2]. This entered an adjacent market and significantly expanded the company's production base and geographic diversification. However, the core business model — acquire acreage, drill wells, sell oil — remains fundamentally the same. The change was expansionary within the same industry rather than a reinvention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Ranger Oil acquisition was a bold bet that approximately doubled Baytex's production and added significant debt, requiring conviction that the integration would succeed and oil prices would support the combined entity [1]. Management has subsequently executed aggressive debt repayment to achieve a net cash position, demonstrating disciplined follow-through on a risky strategic decision. However, this is a single example of conventional E&amp;P M&amp;A rather than a pattern of courageous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Baytex offers compelling value for E&amp;P investors with a near-debt-free balance sheet (6.9% D/E) and strong production growth at a reasonable 16.7x forward earnings. Q2 2026 delivered a beat on all metrics — production averaged 71,200 boe/d (+11% YoY), adjusted earnings of $0.24/share exceeded the $0.10 consensus, and revenue of $639.9M significantly surpassed estimates [1][2]. The updated 3-year outlook targets 6-8% annual production growth while maintaining a net cash position, providing unusual visibility for an E&amp;P company. The Ranger Oil acquisition has been successfully integrated, giving Baytex diversified exposure across premium Eagle Ford Shale and multiple Western Canadian basins. New CEO Chad Lundberg brings deep operational expertise from his progression through COO and President roles, ensuring strategic continuity [3]. The 1.4% dividend yield provides modest income while the company prioritizes production growth and balance sheet strength.</w:t>
      </w:r>
    </w:p>
    <w:p>
      <w:pPr>
        <w:spacing w:after="120"/>
      </w:pPr>
      <w:r>
        <w:rPr>
          <w:rFonts w:ascii="Calibri" w:hAnsi="Calibri"/>
          <w:b w:val="0"/>
          <w:color w:val="3A4A28"/>
          <w:sz w:val="20"/>
        </w:rPr>
        <w:t>The primary risk is commodity price exposure — Baytex's revenue and profitability are directly tied to oil and gas prices, and the trailing profit margin of -42.9% (distorted by Q1 2026 impairment charges) demonstrates the extreme earnings volatility inherent in E&amp;P operations [1][5]. The company missed Q1 2026 EPS estimates (-$0.09 vs $0.02 expected) despite beating on revenue, suggesting cost management challenges that may persist. The dividend is small (1.4% yield) and inconsistent — Baytex skipped payments in Q3-Q4 2025 before resuming in 2026, undermining reliability as an income investment [5]. CEO transition risk exists as Lundberg assumed the role in May 2026, though the internal promotion mitigates this concern [3]. Baytex has no AI strategy, no innovation moat, and no differentiated purpose — it is purely a bet on management execution and commodity prices. Forward P/E of 16.7x is elevated for an E&amp;P company with negative trailing profitability, suggesting the market is pricing in a significant recovery that may not materialize if oil prices weaken.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3-year production growth outlook of 6-8% annually with a net cash position throughout, providing unusual visibility and financial flexibility for an E&amp;P company to execute on organic and potential acquisition opportunities [1][2]</w:t>
      </w:r>
    </w:p>
    <w:p>
      <w:pPr>
        <w:spacing w:before="40" w:after="40"/>
        <w:ind w:left="283"/>
      </w:pPr>
      <w:r>
        <w:rPr>
          <w:rFonts w:ascii="Calibri" w:hAnsi="Calibri"/>
          <w:b/>
          <w:color w:val="4A6B25"/>
          <w:sz w:val="20"/>
        </w:rPr>
        <w:t xml:space="preserve">2. </w:t>
      </w:r>
      <w:r>
        <w:rPr>
          <w:rFonts w:ascii="Calibri" w:hAnsi="Calibri"/>
          <w:b w:val="0"/>
          <w:color w:val="3A4A28"/>
          <w:sz w:val="20"/>
        </w:rPr>
        <w:t>Q2 2026 beat on all metrics (production 71,200 boe/d, EPS $0.24 vs $0.10 expected, revenue $639.9M) suggesting the Ranger Oil integration is delivering above expectations and operational momentum is building [1][2]</w:t>
      </w:r>
    </w:p>
    <w:p>
      <w:pPr>
        <w:spacing w:before="40" w:after="40"/>
        <w:ind w:left="283"/>
      </w:pPr>
      <w:r>
        <w:rPr>
          <w:rFonts w:ascii="Calibri" w:hAnsi="Calibri"/>
          <w:b/>
          <w:color w:val="4A6B25"/>
          <w:sz w:val="20"/>
        </w:rPr>
        <w:t xml:space="preserve">3. </w:t>
      </w:r>
      <w:r>
        <w:rPr>
          <w:rFonts w:ascii="Calibri" w:hAnsi="Calibri"/>
          <w:b w:val="0"/>
          <w:color w:val="3A4A28"/>
          <w:sz w:val="20"/>
        </w:rPr>
        <w:t>Near-debt-free balance sheet (6.9% D/E) achieved through aggressive deleveraging after the Ranger acquisition, providing a cushion against commodity price volatility that most E&amp;P peers lack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Direct commodity price exposure with no hedging visibility — trailing profit margin of -42.9% and negative ROE demonstrate extreme earnings volatility, with Q1 2026 impairment charges showing how quickly E&amp;P economics can turn negative [1][5]</w:t>
      </w:r>
    </w:p>
    <w:p>
      <w:pPr>
        <w:spacing w:before="40" w:after="40"/>
        <w:ind w:left="283"/>
      </w:pPr>
      <w:r>
        <w:rPr>
          <w:rFonts w:ascii="Calibri" w:hAnsi="Calibri"/>
          <w:b/>
          <w:color w:val="4A6B25"/>
          <w:sz w:val="20"/>
        </w:rPr>
        <w:t xml:space="preserve">2. </w:t>
      </w:r>
      <w:r>
        <w:rPr>
          <w:rFonts w:ascii="Calibri" w:hAnsi="Calibri"/>
          <w:b w:val="0"/>
          <w:color w:val="3A4A28"/>
          <w:sz w:val="20"/>
        </w:rPr>
        <w:t>Inconsistent dividend history (skipped Q3-Q4 2025 payments, no growth, 1.4% yield) combined with no innovation moat or differentiated purpose limits the stock's appeal to a narrow set of commodity-focused investors [5]</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as Chad Lundberg assumed leadership in May 2026 with strategic direction yet to be fully established; no AI strategy or digital transformation initiative positions Baytex behind peers investing in operational technology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Baytex's core business of physical oil and gas extraction — drilling wells, managing reservoirs, operating production facilities across Western Canada and the Eagle Ford Shale — requires physical-world operations and on-site personnel that AI cannot replace [1][2]. AI is an operational enabler for E&amp;P companies (reservoir modeling, production optimization, predictive maintenance) but does not threaten the fundamental demand for oil and gas production. No analysts have flagged AI as a substitution risk for conventional E&amp;P operators. However, Baytex has flagged AI-specific risks in its disclosures, including concerns about flawed algorithms, data privacy, and uncertain regulatory frameworks [3]. AI Opportunity (0/1): Baytex has no AI revenue, no AI products, and no announced AI partnerships. The company's 10-K treats AI primarily as a risk factor rather than a revenue opportunity, citing concerns about 'unintended consequences' and 'operational vulnerabilities' from AI adoption [3]. Unlike peer Battalion Oil's Collide partnership, Baytex has not made a strategic AI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Baytex Energy Q2 2026 Earnings — Production 71,200 boe/d (+11% YoY), Revenue $639.9M, Adjusted EPS $0.24, Raised 2026 Guidance — SEC 6-K,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Baytex Energy Q1 2026 Earnings — Revenue $452.9M, EPS -$0.09 (miss), Production Guidance Increased to 71,000 boe/d, 3-Year Outlook 6-8% Growth — SEC 6-K, Investing.com, May 2026</w:t>
      </w:r>
    </w:p>
    <w:p>
      <w:pPr>
        <w:spacing w:before="20" w:after="20"/>
        <w:ind w:left="170"/>
      </w:pPr>
      <w:r>
        <w:rPr>
          <w:rFonts w:ascii="Calibri" w:hAnsi="Calibri"/>
          <w:b/>
          <w:color w:val="4A6B25"/>
          <w:sz w:val="15"/>
        </w:rPr>
        <w:t xml:space="preserve">3. </w:t>
      </w:r>
      <w:r>
        <w:rPr>
          <w:rFonts w:ascii="Calibri" w:hAnsi="Calibri"/>
          <w:b w:val="0"/>
          <w:color w:val="3A4A28"/>
          <w:sz w:val="17"/>
        </w:rPr>
        <w:t>Baytex Energy CEO Transition — Chad Lundberg Appointed CEO May 2026, Former COO/President Since 2021, AI Risk Disclosures in 10-K — TipRanks, SEC 40-F, 2026</w:t>
      </w:r>
    </w:p>
    <w:p>
      <w:pPr>
        <w:spacing w:before="20" w:after="20"/>
        <w:ind w:left="170"/>
      </w:pPr>
      <w:r>
        <w:rPr>
          <w:rFonts w:ascii="Calibri" w:hAnsi="Calibri"/>
          <w:b/>
          <w:color w:val="4A6B25"/>
          <w:sz w:val="15"/>
        </w:rPr>
        <w:t xml:space="preserve">4. </w:t>
      </w:r>
      <w:r>
        <w:rPr>
          <w:rFonts w:ascii="Calibri" w:hAnsi="Calibri"/>
          <w:b w:val="0"/>
          <w:color w:val="3A4A28"/>
          <w:sz w:val="17"/>
        </w:rPr>
        <w:t>Baytex Energy ESG — $22.4M Reclamation Spending, Record 397 Well Abandonments, 17% Fresh Water Intensity Reduction, Board Governance — Baytex ESG Report, SEC Filings, 2022-2026</w:t>
      </w:r>
    </w:p>
    <w:p>
      <w:pPr>
        <w:spacing w:before="20" w:after="20"/>
        <w:ind w:left="170"/>
      </w:pPr>
      <w:r>
        <w:rPr>
          <w:rFonts w:ascii="Calibri" w:hAnsi="Calibri"/>
          <w:b/>
          <w:color w:val="4A6B25"/>
          <w:sz w:val="15"/>
        </w:rPr>
        <w:t xml:space="preserve">5. </w:t>
      </w:r>
      <w:r>
        <w:rPr>
          <w:rFonts w:ascii="Calibri" w:hAnsi="Calibri"/>
          <w:b w:val="0"/>
          <w:color w:val="3A4A28"/>
          <w:sz w:val="17"/>
        </w:rPr>
        <w:t>Baytex Energy Financial Data — D/E 6.9%, Stock Price $4.63, Dividend History, Volume — Yahoo Finance,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