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BTI</w:t>
      </w:r>
      <w:r>
        <w:rPr>
          <w:rFonts w:ascii="Calibri" w:hAnsi="Calibri"/>
          <w:b/>
          <w:color w:val="1A2010"/>
          <w:sz w:val="40"/>
        </w:rPr>
        <w:t xml:space="preserve">  British American Tobacco p.l.c.</w:t>
      </w:r>
    </w:p>
    <w:p>
      <w:pPr>
        <w:spacing w:after="120"/>
      </w:pPr>
      <w:r>
        <w:rPr>
          <w:rFonts w:ascii="Calibri" w:hAnsi="Calibri"/>
          <w:b/>
          <w:color w:val="6E8450"/>
          <w:sz w:val="18"/>
        </w:rPr>
        <w:t>DIVIDEND SLEEVE · 2026-10-19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NYQ · United Kingdom</w:t>
      </w:r>
    </w:p>
    <w:p>
      <w:pPr>
        <w:spacing w:after="80"/>
      </w:pPr>
      <w:r>
        <w:rPr>
          <w:rFonts w:ascii="Calibri" w:hAnsi="Calibri"/>
          <w:b w:val="0"/>
          <w:color w:val="3A4A28"/>
          <w:sz w:val="20"/>
        </w:rPr>
        <w:t>British American Tobacco provides tobacco and nicotine products globally, offering combustible cigarettes under brands including Lucky Strike, Pall Mall, Dunhill, and Kent, alongside next-generation products including Vuse (vapour), glo (heated tobacco), and Velo (modern oral nicotine). The company is executing a multi-year transformation toward reduced-risk products under its 'A Better Tomorrow' strategy, with New Categories now representing 19.8% of group revenue. H1 2026 revenue grew 2.9% constant-currency with adjusted EPS up 7.9%, driven by U.S. revenue growth of 8.5% and New Category revenue growth of 18% [1]. Market cap approximately $129B.</w:t>
      </w:r>
    </w:p>
    <w:p>
      <w:r>
        <w:rPr>
          <w:rFonts w:ascii="Calibri" w:hAnsi="Calibri"/>
          <w:b/>
          <w:color w:val="6E8450"/>
          <w:sz w:val="18"/>
        </w:rPr>
        <w:t>47,797 Employees · https://www.bat.com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BTI has executed a meaningful multi-year transformation from pure combustible tobacco toward a multi-category nicotine company. New Categories (Vuse, glo, Velo) now represent 19.8% of group revenue — up 160bps YoY — with Modern Oral growing 65.9% and U.S. Vapour returning to double-digit growth in H1 2026 [1]. This represents a significant strategic pivot that opened new revenue streams, though combustibles still dominate at ~80%. AI Deployment (1/2): BAT announced a major AI-driven transformation eliminating 9,000 roles (~20% of workforce) targeting $760M in annual cost savings [3]. Digital and information director Javed Iqbal described a governance-first approach with guardrails on AI usage across the group. Internal AI deployment quantifies savings but no customer-facing AI products ship [3]. Market Share (1/2): BTI is the world's second-largest international tobacco company by revenue. Vuse holds leading vapour positions in several geographies, and Velo achieved strong growth in modern oral, but faces intense competition from PMI (IQOS in heated tobacco) and Swedish Match/ZYN in the fastest-growing oral category [1]. Product Pipeline (1/2): New Categories pipeline includes Vuse, glo, and Velo product extensions, with management guiding 3-5% constant-currency revenue growth and targeting 50% smokeless revenue by 2035. Specific next-gen products with named launch dates are not disclosed. R&amp;D Intensity (1/1): BTI invests over 300M GBP annually in New Categories R&amp;D, above tobacco industry average, reflecting meaningful commitment to reduced-risk product development and regulatory science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BTI's purpose is 'Building A Better Tomorrow' by reducing the health impact of its business through offering adult consumers a greater choice of less risky nicotine products. The mission is clear and has driven billions in New Category investment [1]. However, with ~80% of revenue still from combustible cigarettes that cause preventable death, the mission reads as strategic repositioning rather than deeply lived transformative purpose. Community Impact (1/2): BAT operates farmer livelihood programs in tobacco-growing regions with science-based emissions reduction targets. The 2026 AGM chair's address highlighted investments in AI, digital capability, and New Categories as societal contribution [2]. However, Hargreaves Lansdown noted the company has been 'consistently embroiled in tax and business ethics controversies,' and the core tobacco product undermines community benefit credibility [4]. Employee Retention (0/2): BTI eliminated 9,000 positions — nearly 20% of its global workforce — as part of its AI-driven transformation, signaling massive organizational disruption rather than retention-focused culture [3]. CEO Tadeu Marroco discusses building 'collaborative culture' but mass layoffs dominate the organizational narrative. Insider Buying (0/2): No evidence of meaningful net insider buying by CEO Marroco or other executives in recent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72.15% scores 0.99 — near the 70% target [5]. ROE of 13.42% scores 0.89 — slightly below the 15% target. Revenue growth YoY of 1.4% scores 0.71 — low but positive, reflecting Q1 weakness partially offset by H1 constant-currency growth of 2.9% [1]. 5-year revenue CAGR of ~1% scores 0.40, reflecting essentially flat top-line over five years. Forward P/E of 11.45 scores 1.0 (capped) — deeply attractive valuation [5]. Profit margin of 25.0% scores 1.0 (capped). Payout ratio of 84.0% scores 0.27 at 1x weight — elevated from 67.5% in prior screen, pressuring dividend sustainability. Consecutive years paid of 25+ scores 1.0 at 2x weight. Consecutive years growth of 3 scores 0.30 at 1x weight. 5-year dividend growth CAGR of ~3.0% scores 0.50 at 2x weight. Weighted sum: 0.99+0.89+0.71+0.40+1.0+1.0+0.27+2.0+0.30+1.0 = 7.56. Max = 12. Infrastructure = round(7.56/12*10) = 6. Liquidity: 4.67M avg volume x $60 = $280M, well above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BTI demonstrates genuine infinite game characteristics through its multi-year transformation from pure combustibles toward a multi-category nicotine business, with billions invested in New Categories and a clear 2035 target of 50% smokeless revenue. However, the 9,000-person workforce reduction (~20% of employees) fundamentally undermines trust-building, and the 'Better Tomorrow' purpose emerged from regulatory and market pressure rather than intrinsic conviction. The company operates with a pragmatic mix of transformation strategy and finite-game cost optimization, with combustibles still generating ~80% of revenue.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BTI's purpose of 'Building A Better Tomorrow' by creating a smokeless world is specific, forward-looking, and backed by real strategic action — billions invested in New Categories R&amp;D, 19.8% of revenue now from smokeless products, and a target of 50% smokeless by 2035 [1]. The cause is genuine and partially lived. However, Sinek would note the inherent tension: the company that created the health problem claims to solve it. The purpose emerged from regulatory pressure and declining smoking rates rather than intrinsic conviction, and ~80% of revenue still comes from the products the cause claims to replace.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elimination of 9,000 positions — nearly 20% of BTI's 47,797-person global workforce — as part of AI transformation creates a fundamentally low-trust environment [3]. Mass layoffs of this magnitude undermine psychological safety regardless of strategic rationale. While CEO Marroco discusses building 'collaborative culture' and the 2026 AGM highlighted people investment, the scale of workforce reduction signals a finance-first philosophy incompatible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BTI explicitly acknowledges Philip Morris International's strengths in heated tobacco (IQOS) and Swedish Match's dominance in modern oral (ZYN), and uses competitive pressure to improve its own portfolio — investing heavily in Velo and launching premium glo variants [1]. Management commentary focuses on 'category growth,' 'building better products,' and consumer switching rather than destroying competitors. The competitive language centers on self-improvement and market development.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BTI is executing a significant strategic evolution from combustibles to next-generation nicotine, with New Categories at 19.8% of revenue and growing 18% YoY in H1 2026 [1]. Modern Oral (Velo) up 65.9% and U.S. Vapour returning to double-digit growth demonstrate category momentum. However, the transformation is incremental — the company operates its combustible business at full scale, targets only 50% smokeless by 2035 (a decade away), and leverages the same distribution infrastructure. This is disciplined adaptation within nicotine, not bold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BTI has invested billions in New Categories R&amp;D and accepted near-term revenue pressure as combustible volumes decline [1]. Management reaffirmed FY26 guidance of 3-5% constant-currency revenue growth and 5-8% EPS growth while investing in transformation. The 9,000-job AI transformation shows willingness to restructure operations. However, BTI has not walked away from its profitable but harmful combustible business — it continues to sell cigarettes while gradually diversifying, which is pragmatic business management rather than courageous purpose-driven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BTI at 11.45x forward earnings offers deep value in a defensive sector with a 5.57% dividend yield and 25+ year dividend payment track record [5]. H1 2026 demonstrated improving execution with U.S. revenue up 8.5%, New Categories growing 18% to 19.8% of group revenue, Modern Oral surging 65.9%, and adjusted EPS growth of 7.9% [1]. Management reaffirmed full-year guidance with EPS growth toward the middle of 5-8% range. The $760M AI-driven cost savings program provides a structural margin tailwind, and at 11.45x forward earnings BTI trades at a steep discount to consumer staples peers (~20x average), offering meaningful downside protection with optionality on the smokeless transformation. The stock has risen to $60 from $55.20 SMA, suggesting improving sentiment [5].</w:t>
      </w:r>
    </w:p>
    <w:p>
      <w:pPr>
        <w:spacing w:after="120"/>
      </w:pPr>
      <w:r>
        <w:rPr>
          <w:rFonts w:ascii="Calibri" w:hAnsi="Calibri"/>
          <w:b w:val="0"/>
          <w:color w:val="3A4A28"/>
          <w:sz w:val="20"/>
        </w:rPr>
        <w:t>The bear case centers on structural decline, payout sustainability, and organizational disruption. Combustible volumes continue declining 2-4% annually, and BTI's reported revenue growth of just 1.4% YoY shows New Category gains barely offset combustible erosion [1]. The payout ratio has risen to 84.0% (from 67.5% in prior screen), leaving minimal room for dividend growth beyond ~3% annually and raising sustainability questions if earnings disappoint. Only 3 consecutive years of dividend growth is weak for an income stock. The 9,000-person workforce reduction (~20% of employees) creates execution risk during a critical transformation — operational disruption, institutional knowledge loss, and cultural damage across 170+ markets [3]. Q1 2026 missed analyst estimates with revenue of $4.52B below the $4.68B forecast. Regulatory risks remain elevated: the Canadian healthcare settlement (C$32.5B), prior DOJ North Korea sanctions violations ($629M settlement), Sustainalytics controversy level of 3 (moderate), and ongoing global tobacco regulation create persistent legal overhang [4]. The APMEA region declined 6.3% in H1, exposing significant geographic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Categories revenue growing 18% with Modern Oral (Velo) up 65.9% — capturing meaningful share of the $10B+ global oral nicotine market alongside ZYN could re-rate BTI from 'declining tobacco' to 'nicotine transformation' narrative [1]</w:t>
      </w:r>
    </w:p>
    <w:p>
      <w:pPr>
        <w:spacing w:before="40" w:after="40"/>
        <w:ind w:left="283"/>
      </w:pPr>
      <w:r>
        <w:rPr>
          <w:rFonts w:ascii="Calibri" w:hAnsi="Calibri"/>
          <w:b/>
          <w:color w:val="4A6B25"/>
          <w:sz w:val="20"/>
        </w:rPr>
        <w:t xml:space="preserve">2. </w:t>
      </w:r>
      <w:r>
        <w:rPr>
          <w:rFonts w:ascii="Calibri" w:hAnsi="Calibri"/>
          <w:b w:val="0"/>
          <w:color w:val="3A4A28"/>
          <w:sz w:val="20"/>
        </w:rPr>
        <w:t>AI-driven cost restructuring targeting $760M in annual savings provides a multi-year margin expansion tailwind that could drive adjusted EPS growth toward the upper end of 5-8% guidance without requiring top-line acceleration [3]</w:t>
      </w:r>
    </w:p>
    <w:p>
      <w:pPr>
        <w:spacing w:before="40" w:after="40"/>
        <w:ind w:left="283"/>
      </w:pPr>
      <w:r>
        <w:rPr>
          <w:rFonts w:ascii="Calibri" w:hAnsi="Calibri"/>
          <w:b/>
          <w:color w:val="4A6B25"/>
          <w:sz w:val="20"/>
        </w:rPr>
        <w:t xml:space="preserve">3. </w:t>
      </w:r>
      <w:r>
        <w:rPr>
          <w:rFonts w:ascii="Calibri" w:hAnsi="Calibri"/>
          <w:b w:val="0"/>
          <w:color w:val="3A4A28"/>
          <w:sz w:val="20"/>
        </w:rPr>
        <w:t>U.S. business momentum with revenue up 8.5% in H1 2026 — if Reynolds American sustains this trajectory through the Vuse and Velo portfolio, it validates the multi-category strategy in BTI's most profitable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decline in combustible volumes (2-4% annual decline globally) requires New Categories to grow fast enough to offset — at 19.8% of revenue, smokeless products cannot yet compensate for the ~80% combustible base, keeping consolidated growth below 3% [1]</w:t>
      </w:r>
    </w:p>
    <w:p>
      <w:pPr>
        <w:spacing w:before="40" w:after="40"/>
        <w:ind w:left="283"/>
      </w:pPr>
      <w:r>
        <w:rPr>
          <w:rFonts w:ascii="Calibri" w:hAnsi="Calibri"/>
          <w:b/>
          <w:color w:val="4A6B25"/>
          <w:sz w:val="20"/>
        </w:rPr>
        <w:t xml:space="preserve">2. </w:t>
      </w:r>
      <w:r>
        <w:rPr>
          <w:rFonts w:ascii="Calibri" w:hAnsi="Calibri"/>
          <w:b w:val="0"/>
          <w:color w:val="3A4A28"/>
          <w:sz w:val="20"/>
        </w:rPr>
        <w:t>Payout ratio of 84.0% is elevated and unsustainable if earnings decline — only 3 consecutive years of dividend growth and trailing EPS decline of 28.6% raise questions about the 5.57% yield's durability, especially given the C$32.5B Canadian healthcare settlement liability [4][5]</w:t>
      </w:r>
    </w:p>
    <w:p>
      <w:pPr>
        <w:spacing w:before="40" w:after="40"/>
        <w:ind w:left="283"/>
      </w:pPr>
      <w:r>
        <w:rPr>
          <w:rFonts w:ascii="Calibri" w:hAnsi="Calibri"/>
          <w:b/>
          <w:color w:val="4A6B25"/>
          <w:sz w:val="20"/>
        </w:rPr>
        <w:t xml:space="preserve">3. </w:t>
      </w:r>
      <w:r>
        <w:rPr>
          <w:rFonts w:ascii="Calibri" w:hAnsi="Calibri"/>
          <w:b w:val="0"/>
          <w:color w:val="3A4A28"/>
          <w:sz w:val="20"/>
        </w:rPr>
        <w:t>Execution risk from eliminating 9,000 roles (20% of workforce) while scaling New Categories across 170+ markets — Q1 2026 already missed estimates, and organizational disruption, knowledge loss, and cultural damage could impair execution and regulatory compliance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Tobacco and nicotine is a physical-product business with structural immunity to AI displacement. Consumers purchase and consume tangible products — cigarettes, vapour devices, heated tobacco sticks, oral nicotine pouches — through heavily regulated retail channels with age verification across 170+ markets [1]. The value chain involves agricultural supply chains, complex manufacturing, global distribution, and brand loyalty built over decades — none of which AI can substitute. AI is purely an operational enabler: BAT is deploying AI to reduce costs by $760M annually through workforce transformation [3]. No analysts have flagged AI as a substitution risk for tobacco products. The one-point deduction reflects modest long-term uncertainty about AI-powered health monitoring tools potentially accelerating smoking cessation trends. AI Opportunity (0/1): BTI does not generate revenue from AI products. AI deployment is solely internal cost optimization — the $760M savings target from the 9,000-person reduction — not a customer-facing revenue source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Tobacco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British American Tobacco H1 2026 Results — Revenue +2.9% CC, Adjusted EPS +7.9%, New Categories +18%, U.S. Revenue +8.5%, Modern Oral +65.9%, FY26 Guidance 3-5% Revenue / 5-8% EPS, July 2026</w:t>
      </w:r>
    </w:p>
    <w:p>
      <w:pPr>
        <w:spacing w:before="20" w:after="20"/>
        <w:ind w:left="170"/>
      </w:pPr>
      <w:r>
        <w:rPr>
          <w:rFonts w:ascii="Calibri" w:hAnsi="Calibri"/>
          <w:b/>
          <w:color w:val="4A6B25"/>
          <w:sz w:val="15"/>
        </w:rPr>
        <w:t xml:space="preserve">2. </w:t>
      </w:r>
      <w:r>
        <w:rPr>
          <w:rFonts w:ascii="Calibri" w:hAnsi="Calibri"/>
          <w:b w:val="0"/>
          <w:color w:val="3A4A28"/>
          <w:sz w:val="17"/>
        </w:rPr>
        <w:t>BAT AGM 2026 Chair's Address — AI and Digital Capability Investment, Strategic Transformation Progress, Building Collaborative Culture — bat.com, April 2026</w:t>
      </w:r>
    </w:p>
    <w:p>
      <w:pPr>
        <w:spacing w:before="20" w:after="20"/>
        <w:ind w:left="170"/>
      </w:pPr>
      <w:r>
        <w:rPr>
          <w:rFonts w:ascii="Calibri" w:hAnsi="Calibri"/>
          <w:b/>
          <w:color w:val="4A6B25"/>
          <w:sz w:val="15"/>
        </w:rPr>
        <w:t xml:space="preserve">3. </w:t>
      </w:r>
      <w:r>
        <w:rPr>
          <w:rFonts w:ascii="Calibri" w:hAnsi="Calibri"/>
          <w:b w:val="0"/>
          <w:color w:val="3A4A28"/>
          <w:sz w:val="17"/>
        </w:rPr>
        <w:t>BAT AI Transformation — 9,000 Job Cuts (~20% Workforce), $760M Annual Savings Target, AI Guardrails Governance Approach — CSP Daily News, Computer Weekly, The Manufacturer, 2025-2026</w:t>
      </w:r>
    </w:p>
    <w:p>
      <w:pPr>
        <w:spacing w:before="20" w:after="20"/>
        <w:ind w:left="170"/>
      </w:pPr>
      <w:r>
        <w:rPr>
          <w:rFonts w:ascii="Calibri" w:hAnsi="Calibri"/>
          <w:b/>
          <w:color w:val="4A6B25"/>
          <w:sz w:val="15"/>
        </w:rPr>
        <w:t xml:space="preserve">4. </w:t>
      </w:r>
      <w:r>
        <w:rPr>
          <w:rFonts w:ascii="Calibri" w:hAnsi="Calibri"/>
          <w:b w:val="0"/>
          <w:color w:val="3A4A28"/>
          <w:sz w:val="17"/>
        </w:rPr>
        <w:t>BAT ESG and Legal — Sustainalytics Controversy Level 3 (Moderate), Canadian Healthcare Settlement C$32.5B, DOJ North Korea Sanctions $629M, Greenwashing Criticism — Hargreaves Lansdown, Sustainalytics, Broadridge,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BTI key statistics: $60.00 price, Forward P/E 11.45, PEG 1.51, D/E 72.15%, ROE 13.42%, Profit Margin 25.0%, Dividend Yield 5.57%, Payout 84.0%, Avg Volume 4.67M,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