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BTSG</w:t>
      </w:r>
      <w:r>
        <w:rPr>
          <w:rFonts w:ascii="Calibri" w:hAnsi="Calibri"/>
          <w:b/>
          <w:color w:val="1A2010"/>
          <w:sz w:val="40"/>
        </w:rPr>
        <w:t xml:space="preserve">  BrightSpring Health Services, Inc.</w:t>
      </w:r>
    </w:p>
    <w:p>
      <w:pPr>
        <w:spacing w:after="120"/>
      </w:pPr>
      <w:r>
        <w:rPr>
          <w:rFonts w:ascii="Calibri" w:hAnsi="Calibri"/>
          <w:b/>
          <w:color w:val="6E8450"/>
          <w:sz w:val="18"/>
        </w:rPr>
        <w:t>GROWTH SLEEVE · 2026-09-07 · Inspire: 26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Home Health Care Services · NASDAQ · United States</w:t>
      </w:r>
    </w:p>
    <w:p>
      <w:pPr>
        <w:spacing w:after="80"/>
      </w:pPr>
      <w:r>
        <w:rPr>
          <w:rFonts w:ascii="Calibri" w:hAnsi="Calibri"/>
          <w:b w:val="0"/>
          <w:color w:val="3A4A28"/>
          <w:sz w:val="20"/>
        </w:rPr>
        <w:t>BrightSpring Health Services is one of the nation's largest providers of home- and community-based health services, operating across pharmacy solutions (specialty and infusion pharmacy) and provider services (home health, hospice, neurorehabilitation, personal care). The company IPO'd in January 2024 after years under KKR ownership. Q2 2026 revenue reached $3.87B (+23% YoY) with adjusted EBITDA of $206M (+44.2% YoY). Full-year 2026 revenue guidance was raised to $15.1-$15.4B (17-20% growth). Market cap ~$12.7B.</w:t>
      </w:r>
    </w:p>
    <w:p>
      <w:r>
        <w:rPr>
          <w:rFonts w:ascii="Calibri" w:hAnsi="Calibri"/>
          <w:b/>
          <w:color w:val="6E8450"/>
          <w:sz w:val="18"/>
        </w:rPr>
        <w:t>23,500 Employees · https://www.brightspringhealth.com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BrightSpring has executed a significant transformation from a disability services provider into a diversified home- and community-based health services platform through strategic acquisitions, most notably the PharMerica specialty pharmacy integration that created the current dual-segment model [1]. The January 2024 IPO marked a major milestone after years of KKR-backed buildout. However, no single transformative product launch defines the company — growth has been acquisition-driven rather than organically innovative. AI Deployment (1/2): BrightSpring has deployed AI for IT support through Hyro AI agents, achieving 96% faster call resolution and 11% improvement in first-call resolution [2]. The company has ~30 people on its AI team working on roughly 10 projects including automated pharmacy intake, medication reconciliation, patient risk identification, and care plan optimization. These are internal efficiency tools, not customer-facing AI products shipping at scale. Market Share (1/2): BrightSpring is a meaningful player in home health and specialty pharmacy but is not the dominant leader in either segment — it competes with Amedisys, Kindred, and larger pharmacy services companies [1]. The DOJ rejected BrightSpring's proposed acquisition of Amedisys home health assets, limiting its market consolidation path [3]. Product Pipeline (1/2): Organic growth is driven by expansion of specialty pharmacy and infusion services into new geographies and payer relationships, plus technology investments in care coordination. However, there are no specific named next-generation products with defined launch dates. R&amp;D Intensity (1/1): BrightSpring has added a CTO and technology leadership team in recent years and is investing in AI and data analytics capabilities above the typical level for a healthcare services company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BrightSpring's mission — 'Helping People Live Their Best Life' — is clear and identifies who the company serves (complex care populations) and what it does (home- and community-based care). It differentiates from generic healthcare missions by centering on quality of life rather than treatment outcomes [1]. However, it hasn't been tested through decades of consistent execution, and the PE-backed origins raise questions about whether purpose or financial engineering drives strategic decisions. Community Impact (1/2): BrightSpring employs over 25,000 staff including caregivers, nurses, and therapists serving vulnerable populations including elderly patients and people with disabilities. The company's LEGACY values framework emphasizes community service. However, a BuzzFeed News investigation documented cases of inadequate care for people with disabilities under KKR ownership, and wage theft lawsuits have been filed against the company [3]. Employee Retention (1/2): Glassdoor rating of 3.5/5 with 67% recommending to a friend is adequate but not exceptional for healthcare services. The 3.1 rating on compensation and benefits and reviews citing chronic understaffing and churn suggest average retention at best [2]. Insider Buying (1/2): CEO Jon Rousseau receives $17.67M in total compensation, predominantly stock-based (94.3%), indicating alignment with shareholders. However, no evidence of meaningful net insider buying beyond compensation-related holdings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BrightSpring demonstrates exceptional top-line momentum with 26.36% TTM revenue growth and 18.3% five-year revenue CAGR, both well above targets [1]. The PEG ratio of 0.64 is outstanding, indicating the market is underpricing growth relative to earnings acceleration (EPS grew ~400% YoY as the company scales toward profitability). D/E of 116% is moderate for a healthcare services company that grew through acquisition, scoring 0.80. Forward P/E of 30.05 is above the 20x target but reasonable given the growth rate, scoring 0.75. The primary drag is the thin profit margin of 2.55%, reflecting the low-margin nature of healthcare services and ongoing integration costs [1]. ROE of 13.04% is approaching but below the 15% target. Daily trading volume of ~2.26M shares at $60.73 easily clears the liquidity floor at ~$137M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BrightSpring demonstrates a mixed infinite/finite orientation. The mission of helping people live their best life is genuine and connects the work to something meaningful, but the company's PE-backed origins (KKR acquired and IPO'd the business) and acquisition-driven growth model reflect financial engineering as much as purpose-driven strategy. CEO Jon Rousseau has provided stable 9+ year leadership, but the company's track record of care quality controversies and labor disputes suggests the cause doesn't always win when it conflicts with margin targets.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BrightSpring's purpose — helping complex care populations live their best lives through home- and community-based services — is genuine, partially lived, and connects to something bigger than profit [1]. The mission clearly identifies who the company serves and why the work matters. Leadership references it consistently in strategic communications and the LEGACY values framework. However, the BuzzFeed investigation into inadequate care under KKR ownership and ongoing wage theft lawsuits suggest the cause doesn't always survive when it conflicts with cost optimization [3]. The company hasn't yet demonstrated multi-decade consistency since it only IPO'd in 2024.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BrightSpring maintains a large workforce of 23,500+ employees with a Glassdoor rating of 3.5/5 — adequate but not exceptional. Employees describe a mission-driven local culture often overridden by corporate cost controls and integration cycles [2]. Reviews cite chronic understaffing, churn, and experiences that depend more on top-down mandates than direct supervisors. The 3.1 compensation rating and reports of frontline worker turnover suggest adequate but not high-trust organizational dynamics for the industry.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BrightSpring operates in a competitive landscape with Amedisys, Kindred, Enhabit, and other home health and pharmacy services companies. Management's language frames competition around improving care quality and expanding access rather than destroying rivals. The company's attempted acquisition of Amedisys assets was positioned as expanding patient access, and CEO Rousseau has discussed learning from technology-forward competitors to improve BrightSpring's own capabilities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BrightSpring has evolved meaningfully from a disability services provider into a diversified home health and specialty pharmacy platform, entering adjacent markets and restructuring through multiple acquisitions [1]. The addition of infusion and specialty pharmacy services represents a strategic expansion beyond traditional home care. However, these changes were incremental and acquisition-driven rather than a transformative, cause-driven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BrightSpring's decision to invest in technology leadership (hiring a CTO, building a 30-person AI team) while simultaneously managing heavy integration costs shows some willingness to invest for the long term [2]. The company raised 2026 guidance while continuing to absorb acquisition costs, suggesting confidence in the growth trajectory. However, the PE-backed history and focus on EBITDA optimization reflect a financial-engineering mindset, and the company's sharp dividend cut from predecessor levels prioritized deleveraging over shareholder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BrightSpring at 30x forward earnings offers compelling growth at a reasonable valuation — Q2 2026 revenue of $3.87B (+23% YoY) with adjusted EBITDA growing 44% demonstrates operating leverage as the dual-segment pharmacy/provider model scales [1]. The PEG ratio of 0.64 indicates the market is underpricing the growth trajectory, and full-year 2026 guidance of $15.1-$15.4B in revenue with $820-$845M in adjusted EBITDA (+33-37%) provides visibility into continued acceleration. The specialty pharmacy and infusion services segments benefit from secular tailwinds including aging demographics, hospital-to-home care migration, and specialty drug proliferation. The 152% stock appreciation over the past 52 weeks reflects the market beginning to recognize the earnings power, with analyst consensus at Strong Buy and $78.94 average price target [1].</w:t>
      </w:r>
    </w:p>
    <w:p>
      <w:pPr>
        <w:spacing w:after="120"/>
      </w:pPr>
      <w:r>
        <w:rPr>
          <w:rFonts w:ascii="Calibri" w:hAnsi="Calibri"/>
          <w:b w:val="0"/>
          <w:color w:val="3A4A28"/>
          <w:sz w:val="20"/>
        </w:rPr>
        <w:t>The bear case centers on leverage, thin margins, and execution complexity. D/E of 116% reflects the acquisition-driven buildup, and integration risk remains as BrightSpring absorbs multiple businesses simultaneously. Profit margins of 2.55% leave minimal room for error — any reimbursement rate cuts (particularly the proposed home health rate cuts flagged by industry groups) could compress margins meaningfully [3]. The DOJ rejection of the Amedisys asset acquisition limits the company's M&amp;A growth path and signals regulatory scrutiny of healthcare consolidation. The PE ratio of 54.67x on trailing earnings (despite the 400% EPS growth) creates vulnerability if growth decelerates. BrightSpring's KKR-legacy controversies around care quality and labor practices create reputational risk, and the company's relatively short public track record (IPO'd January 2024) means limited visibility into how management navigates cyclical downturns. The Inspire Impact Score of 26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Specialty pharmacy and infusion services growth driving 44% adjusted EBITDA expansion as the company achieves operating leverage on its scaled platform, with full-year 2026 EBITDA guidance raised to $820-$845M [1]</w:t>
      </w:r>
    </w:p>
    <w:p>
      <w:pPr>
        <w:spacing w:before="40" w:after="40"/>
        <w:ind w:left="283"/>
      </w:pPr>
      <w:r>
        <w:rPr>
          <w:rFonts w:ascii="Calibri" w:hAnsi="Calibri"/>
          <w:b/>
          <w:color w:val="4A6B25"/>
          <w:sz w:val="20"/>
        </w:rPr>
        <w:t xml:space="preserve">2. </w:t>
      </w:r>
      <w:r>
        <w:rPr>
          <w:rFonts w:ascii="Calibri" w:hAnsi="Calibri"/>
          <w:b w:val="0"/>
          <w:color w:val="3A4A28"/>
          <w:sz w:val="20"/>
        </w:rPr>
        <w:t>Secular tailwinds from aging demographics and hospital-to-home care migration increasing demand for BrightSpring's home health, hospice, and community-based services across 50 states [1]</w:t>
      </w:r>
    </w:p>
    <w:p>
      <w:pPr>
        <w:spacing w:before="40" w:after="40"/>
        <w:ind w:left="283"/>
      </w:pPr>
      <w:r>
        <w:rPr>
          <w:rFonts w:ascii="Calibri" w:hAnsi="Calibri"/>
          <w:b/>
          <w:color w:val="4A6B25"/>
          <w:sz w:val="20"/>
        </w:rPr>
        <w:t xml:space="preserve">3. </w:t>
      </w:r>
      <w:r>
        <w:rPr>
          <w:rFonts w:ascii="Calibri" w:hAnsi="Calibri"/>
          <w:b w:val="0"/>
          <w:color w:val="3A4A28"/>
          <w:sz w:val="20"/>
        </w:rPr>
        <w:t>Technology investment (30-person AI team, new CTO) automating pharmacy intake, care planning, and clinical workflows could expand margins beyond the current 2.55% as operational efficiencies compound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Proposed home health rate cuts and Medicaid reimbursement pressure could compress already-thin 2.55% profit margins — healthcare services companies are highly sensitive to payer rate changes [3]</w:t>
      </w:r>
    </w:p>
    <w:p>
      <w:pPr>
        <w:spacing w:before="40" w:after="40"/>
        <w:ind w:left="283"/>
      </w:pPr>
      <w:r>
        <w:rPr>
          <w:rFonts w:ascii="Calibri" w:hAnsi="Calibri"/>
          <w:b/>
          <w:color w:val="4A6B25"/>
          <w:sz w:val="20"/>
        </w:rPr>
        <w:t xml:space="preserve">2. </w:t>
      </w:r>
      <w:r>
        <w:rPr>
          <w:rFonts w:ascii="Calibri" w:hAnsi="Calibri"/>
          <w:b w:val="0"/>
          <w:color w:val="3A4A28"/>
          <w:sz w:val="20"/>
        </w:rPr>
        <w:t>Integration execution risk as BrightSpring absorbs multiple acquisitions simultaneously while maintaining care quality across 23,500+ employees and diverse service lines [1]</w:t>
      </w:r>
    </w:p>
    <w:p>
      <w:pPr>
        <w:spacing w:before="40" w:after="40"/>
        <w:ind w:left="283"/>
      </w:pPr>
      <w:r>
        <w:rPr>
          <w:rFonts w:ascii="Calibri" w:hAnsi="Calibri"/>
          <w:b/>
          <w:color w:val="4A6B25"/>
          <w:sz w:val="20"/>
        </w:rPr>
        <w:t xml:space="preserve">3. </w:t>
      </w:r>
      <w:r>
        <w:rPr>
          <w:rFonts w:ascii="Calibri" w:hAnsi="Calibri"/>
          <w:b w:val="0"/>
          <w:color w:val="3A4A28"/>
          <w:sz w:val="20"/>
        </w:rPr>
        <w:t>DOJ antitrust scrutiny blocking the Amedisys asset acquisition signals regulatory constraints on further M&amp;A-driven growth, potentially limiting the company's primary growth strategy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BrightSpring's core business — home health, hospice, specialty pharmacy, and neurorehabilitation — involves physical-world caregiving, hands-on patient interaction, and regulated pharmacy operations that AI cannot structurally displace [2]. Nurses, caregivers, and therapists must physically be present with patients. Specialty and infusion pharmacy services require licensed pharmacists and regulated dispensing infrastructure. However, AI tools are beginning to automate clinical documentation, care planning, medication management, and administrative workflows that represent meaningful cost centers — while this improves efficiency, it also means AI could enable smaller competitors or new entrants to operate with fewer staff [2]. The home health industry faces potential disruption from AI-powered remote monitoring and virtual care that could reduce the need for in-person visits for some patient populations. AI Opportunity (1/1): BrightSpring is actively generating operational value from AI with ~30-person AI team and 10+ active projects including pharmacy intake automation and patient risk stratification, with measurable results including 96% faster IT support resolution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BrightSpring Q2 2026 Earnings Release — Revenue $3.87B (+23% YoY), Adjusted EBITDA $206M (+44.2%), Full-Year Guidance Raised to $15.1-$15.4B Revenue,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BrightSpring CEO Interview — AI Push, 30-Person AI Team, Hyro AI IT Support (96% Faster Resolution), CTO Hire, The Cerbat Gem / Hyro Case Study, June 2026</w:t>
      </w:r>
    </w:p>
    <w:p>
      <w:pPr>
        <w:spacing w:before="20" w:after="20"/>
        <w:ind w:left="170"/>
      </w:pPr>
      <w:r>
        <w:rPr>
          <w:rFonts w:ascii="Calibri" w:hAnsi="Calibri"/>
          <w:b/>
          <w:color w:val="4A6B25"/>
          <w:sz w:val="15"/>
        </w:rPr>
        <w:t xml:space="preserve">3. </w:t>
      </w:r>
      <w:r>
        <w:rPr>
          <w:rFonts w:ascii="Calibri" w:hAnsi="Calibri"/>
          <w:b w:val="0"/>
          <w:color w:val="3A4A28"/>
          <w:sz w:val="17"/>
        </w:rPr>
        <w:t>BrightSpring ESG and Regulatory — BuzzFeed News Investigation on Disability Care, DOJ Rejection of Amedisys Divestiture, Sustainalytics ESG Rating, Glassdoor 3.5/5 Rating,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