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BTU</w:t>
      </w:r>
      <w:r>
        <w:rPr>
          <w:rFonts w:ascii="Calibri" w:hAnsi="Calibri"/>
          <w:b/>
          <w:color w:val="1A2010"/>
          <w:sz w:val="40"/>
        </w:rPr>
        <w:t xml:space="preserve">  Peabody Energy Corporation</w:t>
      </w:r>
    </w:p>
    <w:p>
      <w:pPr>
        <w:spacing w:after="120"/>
      </w:pPr>
      <w:r>
        <w:rPr>
          <w:rFonts w:ascii="Calibri" w:hAnsi="Calibri"/>
          <w:b/>
          <w:color w:val="6E8450"/>
          <w:sz w:val="18"/>
        </w:rPr>
        <w:t>GROWTH SLEEVE · 2026-09-03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Thermal Coal · NYSE · United States</w:t>
      </w:r>
    </w:p>
    <w:p>
      <w:pPr>
        <w:spacing w:after="80"/>
      </w:pPr>
      <w:r>
        <w:rPr>
          <w:rFonts w:ascii="Calibri" w:hAnsi="Calibri"/>
          <w:b w:val="0"/>
          <w:color w:val="3A4A28"/>
          <w:sz w:val="20"/>
        </w:rPr>
        <w:t>Peabody Energy is the world's largest private-sector coal company, mining and marketing thermal and metallurgical coal for electricity generation and steelmaking. Operations span the United States (Powder River Basin, Illinois Basin, Appalachia) and Australia (Queensland, New South Wales). Emerged from Chapter 11 bankruptcy in 2017. The company is ramping its flagship Centurion premium met coal mine in Australia, targeting 4.7M tons/year over a 25+ year mine life. Q2 CY2026 revenue was $1.0B (+12.7% YoY), though GAAP EPS was -$0.74 due to Centurion commissioning costs. FY2026 analyst consensus: $4.54B revenue, $2.73 EPS.</w:t>
      </w:r>
    </w:p>
    <w:p>
      <w:r>
        <w:rPr>
          <w:rFonts w:ascii="Calibri" w:hAnsi="Calibri"/>
          <w:b/>
          <w:color w:val="6E8450"/>
          <w:sz w:val="18"/>
        </w:rPr>
        <w:t>6,800 Employees · https://www.peabodyenergy.com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Peabody's most significant strategic initiative is the Centurion premium met coal mine, which began longwall mining two months ahead of target and is expected to ramp to 4.7M tons/year at $105/ton costs over a 25+ year mine life [1][2]. This represents meaningful capacity addition but not a business model transformation — Peabody remains fundamentally a coal mining company. The post-bankruptcy restructuring (emerged 2017) achieved zero net debt and strong liquidity, which is operationally impressive but not innovation. AI Deployment (0/2): No evidence of AI-powered products, AI-driven operational savings, or AI strategy. Coal mining operations remain conventionally managed with no public AI deployment. Market Share (1/2): Peabody is the world's largest private-sector coal company with 2026 guidance of 82-88M short tons PRB thermal, 12-13M seaborne thermal, and 9.3-10.3M seaborne met coal [1]. Clear category leader in private coal production. Product Pipeline (1/2): Centurion mine has specific production targets (4.7M tons/year) and cost estimates ($105/ton in 2024 dollars) with H2 2026 ramp timeline and 25+ year mine life, providing concrete revenue visibility in premium met coal [2]. R&amp;D Intensity (0/1): Coal mining has minimal R&amp;D relative to revenue. No above-industry R&amp;D investment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Peabody's stated core values — safety, customer focus, leadership, people, excellence, integrity, sustainability — are generic and interchangeable with any industrial company [2]. The company frames its purpose as providing essential energy for economic development, which is a product description rather than a distinctive vision. Community Impact (1/2): Coal mining operations are major employers in rural communities across Wyoming, Illinois, Appalachia, and Queensland, and the company publishes ESG reports citing community investment [3]. However, no specific philanthropic programs with measurable dollar amounts were identified beyond standard corporate practices. Employee Retention (1/2): Peabody's total recordable incident frequency rate is notably low for the mining industry, suggesting a genuine safety culture that values worker wellbeing [2]. Safety culture in mining is a meaningful signal of organizational trust. However, the executive team was rated in the bottom 20% of similarly sized companies on Comparably, suggesting leadership satisfaction challenges.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9% is exceptional, well below the 70% target, reflecting post-bankruptcy deleveraging [4]. Forward P/E of 10.5x (based on $28.75 price and $2.73 FY2026 consensus EPS) scores at maximum against the 20x target — the market prices significant terminal value risk into coal. Q2 2026 revenue growth of 12.7% YoY approaches the 10% target, driven by Centurion ramp and improved met coal pricing [1]. The 5-year revenue CAGR of approximately 6% scores moderately. However, ROE of -3.69% and profit margin of -4.55% both score 0, reflecting the heavy Centurion commissioning costs that pushed the company into negative territory in the most recent trailing period [1][4]. PEG ratio is unavailable due to volatile earnings. The stock clears the liquidity floor with approximately $86M in daily trading volume (~3M shares x $28.75).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Peabody Energy is a textbook finite game player in Sinek's framework. The company exists to extract and sell coal profitably, return cash to shareholders, and manage the decline of thermal coal — all legitimate business objectives but none constituting a Just Cause. The post-bankruptcy restructuring demonstrates operational competence and financial discipline, but the strategic orientation is fundamentally about maximizing returns from a depletable resource, not building an organization designed to endure indefinitely. The Centurion mine bet doubles down on coal rather than adapting to the energy transition.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Peabody has no Just Cause in Sinek's framework. The company's stated purpose — providing energy — is a description of its product, not a vision of a future state that inspires sacrifice [2]. There is no evidence that leadership articulates a cause beyond operational excellence and shareholder returns. The business model is inherently extractive and finite — coal reserves deplete — and the company's strategic narrative centers on maximizing value from existing assets. Sinek would identify Peabody as a company playing to win this quarter, not playing to keep playing.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Peabody's safety culture is notable — a low total recordable incident frequency rate for the mining industry requires genuine organizational commitment to worker wellbeing, suggesting front-line workers trust management to prioritize their safety [2]. Mining operations with strong safety records typically correlate with empowered teams and open communication about hazards. However, Comparably data rating the executive team in the bottom 20% of peers suggests disconnect between leadership and employee satisfaction, and the bankruptcy history creates complexity in long-term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Peabody's competitive framing centers on being the 'largest private-sector coal company' and achieving 'lowest-cost' production — language oriented toward winning and market position rather than self-improvement [1][2]. No evidence of management commentary acknowledging worthy rivals or using competitive dynamics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Peabody remains fundamentally a coal mining company with no meaningful diversification beyond coal [1][2]. The shift toward greater met coal emphasis through Centurion is a portfolio optimization within coal, not an existential pivot. The company has made no moves toward renewable energy, carbon capture, or adjacent businesses that would signal willingness to evolve beyond coal. Sinek would view this as a company clinging to its legacy business model as the energy transition accelerates around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$2B+ Centurion mine investment represents a significant long-term capital commitment — building a 25+ year mine life asset while accepting near-term commissioning losses ($0.74/share GAAP loss in Q2 2026, 76% below consensus) [1][2]. The post-bankruptcy transformation achieving zero net debt and 65-100% FCF return framework demonstrates financial discipline. However, these decisions are financially rational rather than courageous in Sinek's sense — they serve shareholder returns rather than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Peabody at 10.5x forward earnings ($2.73 FY2026 consensus) with D/E of just 9% offers a deep-value proposition in coal — the market prices significant terminal value risk that may be premature given AI-driven electricity demand extending coal plant lifetimes [1][4]. Q2 CY2026 revenue of $1.0B (+12.7% YoY) signals top-line momentum, and Centurion's ramp to 4.7M tons/year of premium met coal at $105/ton costs should drive material EBITDA expansion in H2 2026, transforming the met coal platform from commissioning drag to earnings engine [2]. The 65-100% FCF return framework and post-bankruptcy balance sheet provide capacity for meaningful shareholder returns as the mine ramp normalizes margins.</w:t>
      </w:r>
    </w:p>
    <w:p>
      <w:pPr>
        <w:spacing w:after="120"/>
      </w:pPr>
      <w:r>
        <w:rPr>
          <w:rFonts w:ascii="Calibri" w:hAnsi="Calibri"/>
          <w:b w:val="0"/>
          <w:color w:val="3A4A28"/>
          <w:sz w:val="20"/>
        </w:rPr>
        <w:t>The bear case is structural and substantial. Q2 2026 GAAP loss of $0.74/share (76% below consensus) with adjusted EBITDA collapsing to $24M demonstrates that Centurion execution risk is real and ongoing — the mine ramp must deliver to justify the stock's recent run from $22 to $29 [1]. ROE of -3.69% and profit margin of -4.55% show a company currently destroying value. Coal is secularly declining as renewables achieve cost parity globally, and revenue has been volatile ($5.0B in 2022 to $3.9B in 2025) with commodity price swings [3][4]. The 1.04% dividend yield is modest with only ~4 years of payment history post-bankruptcy, providing limited evidence of sustainability through a full cycle. CEO Jim Grech's planned 2028 departure creates succession uncertainty with no publicly articulated vision for the company beyond coal extraction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Centurion mine ramp to full 4.7M tons/year production of premium met coal in H2 2026 — commissioning costs should decline materially, driving EBITDA recovery and normalizing the margin profile after Q2's $24M adjusted EBITDA trough [1][2]</w:t>
      </w:r>
    </w:p>
    <w:p>
      <w:pPr>
        <w:spacing w:before="40" w:after="40"/>
        <w:ind w:left="283"/>
      </w:pPr>
      <w:r>
        <w:rPr>
          <w:rFonts w:ascii="Calibri" w:hAnsi="Calibri"/>
          <w:b/>
          <w:color w:val="4A6B25"/>
          <w:sz w:val="20"/>
        </w:rPr>
        <w:t xml:space="preserve">2. </w:t>
      </w:r>
      <w:r>
        <w:rPr>
          <w:rFonts w:ascii="Calibri" w:hAnsi="Calibri"/>
          <w:b w:val="0"/>
          <w:color w:val="3A4A28"/>
          <w:sz w:val="20"/>
        </w:rPr>
        <w:t>AI data center electricity demand creating incremental thermal coal demand as buildout strains grid capacity faster than renewable additions, supporting PRB thermal volumes at 82-88M short tons guidance [1]</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10.5x forward P/E with 9% D/E provides significant re-rating potential if Centurion delivery and met coal pricing validate the H2 2026 earnings recovery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Centurion mine execution risk — Q2 2026 commissioning losses caused a $0.74/share GAAP loss (76% below consensus), and any delays in reaching the 4.7M ton/year target would extend the period of depressed profitability [1]</w:t>
      </w:r>
    </w:p>
    <w:p>
      <w:pPr>
        <w:spacing w:before="40" w:after="40"/>
        <w:ind w:left="283"/>
      </w:pPr>
      <w:r>
        <w:rPr>
          <w:rFonts w:ascii="Calibri" w:hAnsi="Calibri"/>
          <w:b/>
          <w:color w:val="4A6B25"/>
          <w:sz w:val="20"/>
        </w:rPr>
        <w:t xml:space="preserve">2. </w:t>
      </w:r>
      <w:r>
        <w:rPr>
          <w:rFonts w:ascii="Calibri" w:hAnsi="Calibri"/>
          <w:b w:val="0"/>
          <w:color w:val="3A4A28"/>
          <w:sz w:val="20"/>
        </w:rPr>
        <w:t>Secular decline of thermal coal as renewables achieve cost parity globally — Peabody's revenue declined 8.9% in FY2025, and accelerating coal plant retirements could outpace AI-driven incremental demand [3]</w:t>
      </w:r>
    </w:p>
    <w:p>
      <w:pPr>
        <w:spacing w:before="40" w:after="40"/>
        <w:ind w:left="283"/>
      </w:pPr>
      <w:r>
        <w:rPr>
          <w:rFonts w:ascii="Calibri" w:hAnsi="Calibri"/>
          <w:b/>
          <w:color w:val="4A6B25"/>
          <w:sz w:val="20"/>
        </w:rPr>
        <w:t xml:space="preserve">3. </w:t>
      </w:r>
      <w:r>
        <w:rPr>
          <w:rFonts w:ascii="Calibri" w:hAnsi="Calibri"/>
          <w:b w:val="0"/>
          <w:color w:val="3A4A28"/>
          <w:sz w:val="20"/>
        </w:rPr>
        <w:t>Commodity price volatility with no pricing power — revenue swung from $5.0B (2022) to $3.9B (2025) with coal benchmarks, and Peabody's pure-play coal model offers no diversification buffer against cyclical downturns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Peabody's core business — extracting coal through surface and underground mining — is entirely physical-world and structurally immune to AI substitution [1]. Coal mining requires heavy equipment, geological expertise, safety management, MSHA regulatory compliance, land access, and logistics infrastructure that AI cannot replace. Furthermore, growing electricity demand from AI data centers is increasing demand for baseload power generation, including coal-fired electricity in regions where coal plants remain the marginal provider [2]. Metallurgical coal for steelmaking is equally immune — no AI substitute exists for the coking process in blast furnace steel production. Scores 8 rather than 9 because the broader energy transition (renewables displacing coal-fired generation) is a structural secular threat, though this is energy policy risk rather than AI disruption. AI Opportunity (0/1): No AI-generated revenue. Peabody is a pure-play coal producer with no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Peabody Energy Q2 CY2026 Earnings Release — Revenue $1.0B (+12.7% YoY), GAAP EPS -$0.74 (76% below consensus), Adj EBITDA $24M, Centurion commissioning costs, StockStory/Yahoo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Peabody Energy Corporate — CEO Jim Grech succession (through May 2028), Centurion mine ($2B+, 4.7M tons/year target, $105/ton, 25+ year life), core values, safety culture, TipRanks/Yahoo Finance, 2026</w:t>
      </w:r>
    </w:p>
    <w:p>
      <w:pPr>
        <w:spacing w:before="20" w:after="20"/>
        <w:ind w:left="170"/>
      </w:pPr>
      <w:r>
        <w:rPr>
          <w:rFonts w:ascii="Calibri" w:hAnsi="Calibri"/>
          <w:b/>
          <w:color w:val="4A6B25"/>
          <w:sz w:val="15"/>
        </w:rPr>
        <w:t xml:space="preserve">3. </w:t>
      </w:r>
      <w:r>
        <w:rPr>
          <w:rFonts w:ascii="Calibri" w:hAnsi="Calibri"/>
          <w:b w:val="0"/>
          <w:color w:val="3A4A28"/>
          <w:sz w:val="17"/>
        </w:rPr>
        <w:t>Peabody Energy ESG Report 2023 — Environmental, Social, Governance practices; Sustainalytics Management Rating 'Strong'; securities litigation on ESG disclosures; coal industry environmental considerations</w:t>
      </w:r>
    </w:p>
    <w:p>
      <w:pPr>
        <w:spacing w:before="20" w:after="20"/>
        <w:ind w:left="170"/>
      </w:pPr>
      <w:r>
        <w:rPr>
          <w:rFonts w:ascii="Calibri" w:hAnsi="Calibri"/>
          <w:b/>
          <w:color w:val="4A6B25"/>
          <w:sz w:val="15"/>
        </w:rPr>
        <w:t xml:space="preserve">4. </w:t>
      </w:r>
      <w:r>
        <w:rPr>
          <w:rFonts w:ascii="Calibri" w:hAnsi="Calibri"/>
          <w:b w:val="0"/>
          <w:color w:val="3A4A28"/>
          <w:sz w:val="17"/>
        </w:rPr>
        <w:t>GuruFocus, StockAnalysis, WallStreetZen — BTU Key Statistics: Forward P/E ~10.5x, D/E 9%, ROE -3.69%, Profit Margin -4.55%, Stock Price ~$28.75, Dividend Yield 1.04%, Avg Volume ~3M shares,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