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BULL</w:t>
      </w:r>
      <w:r>
        <w:rPr>
          <w:rFonts w:ascii="Calibri" w:hAnsi="Calibri"/>
          <w:b/>
          <w:color w:val="1A2010"/>
          <w:sz w:val="40"/>
        </w:rPr>
        <w:t xml:space="preserve">  Webull Corporation</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NCM · United States</w:t>
      </w:r>
    </w:p>
    <w:p>
      <w:pPr>
        <w:spacing w:after="80"/>
      </w:pPr>
      <w:r>
        <w:rPr>
          <w:rFonts w:ascii="Calibri" w:hAnsi="Calibri"/>
          <w:b w:val="0"/>
          <w:color w:val="3A4A28"/>
          <w:sz w:val="20"/>
        </w:rPr>
        <w:t>Webull Corporation operates a digital investment platform enabling self-directed retail investors to trade equities, options, ETFs, cryptocurrencies, futures, and corporate bonds across 15+ countries. The company deployed its AI-powered Vega platform (1.2M weekly users) and launched Vega Portfolio for agentic portfolio construction. Q2 2026 revenue reached $198.8M (+51% YoY) with $62.6M adjusted operating profit. Founded in 2016 by Anquan Wang, went public via SPAC merger in April 2025, headquartered in Saint Petersburg, Florida. Group President Anthony Denier leads operations. Market cap ~$3.2B.</w:t>
      </w:r>
    </w:p>
    <w:p>
      <w:r>
        <w:rPr>
          <w:rFonts w:ascii="Calibri" w:hAnsi="Calibri"/>
          <w:b/>
          <w:color w:val="6E8450"/>
          <w:sz w:val="18"/>
        </w:rPr>
        <w:t>1,396 Employees · https://www.webullcorp.com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Webull grew 2025 revenue 46% YoY to $571M and accelerated to 51% YoY growth in Q2 2026 ($198.8M), expanded to 15+ countries, and went public via SPAC in April 2025 [1]. The June 2026 FINRA Pattern Day Trader rule elimination — which management called the 'defining event for the quarter' — drove equity volume up 73% and options volume up 68% in Q2 [1]. AI Deployment (2/2): Shipped Vega AI serving 1.2M weekly users (1 in 8 consulting it before trading), launched Vega Portfolio for agentic portfolio construction in July 2026, and released MCP server positioning Webull as execution infrastructure for third-party AI agents [2]. These represent tangible AI products with measured adoption. Market Share (1/2): 5.13M funded accounts (+8% YoY), $28.5B customer assets (+79% YoY), but trails Robinhood (~24M funded), Schwab, and Fidelity in scale [1]. Pipeline (1/2): Vega Analyst (AI research tool in beta testing), AI Portfolio enhancements, and European expansion to additional markets provide specific near-term product visibility [2]. R&amp;D Intensity (1/1): Engineering-first culture with 1,396 employees, dedicated Head of AI Jack Keating, and significant technology investment — operating expenses rose 64% in Q1 primarily on technology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Webull's mission to democratize investing through technology is generic and interchangeable with every retail fintech brokerage — Robinhood, eToro, SoFi all articulate identical purposes [2]. The mission doesn't shape behavior differently from competitors. Community Impact (0/2): No evidence of charitable programs, foundation, or community investment beyond the core product offering. Employee Retention (0/2): Glassdoor rating of 2.3/5 (38% below finance industry average of 3.7), with only 26% CEO approval and 31% employee recommendation rate [2]. Recent reviews describe 'toxic work culture with extremely poor leadership and high turnover,' with criticism of 'poor communication, inconsistent direction, and a lack of accountability.' This is among the weakest employee sentiment data in the IOWN coverage universe. Insider Buying (0/2): No evidence of meaningful open-market insider purchases; founder Wang Anquan's 79.2% voting control represents structural ownership rather than conviction buying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with improved financial data now available. D/E of 7.5% is essentially debt-free (score 1.0) with $1.93B cash on the balance sheet [1]. Revenue growth YoY of 51.9% far exceeds the 10% target (score 1.0), driven by Q2 trading volume surges across all asset classes. 5yr revenue CAGR estimated at 14% (score 1.0, 2x weight). Forward P/E of 19.2 sits just below the 20 target (score 1.0), representing improved earnings visibility from Q2 adjusted operating profit of $62.6M [1]. ROE of 4.72% is positive but below the 15% target (score 0.31, 2x weight), reflecting the early profitability profile. Profit margin of 6.34% (score 0.32) is thin but improving from GAAP losses in prior quarters. PEG ratio unavailable and excluded from calculation. Daily dollar volume of $85M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Webull demonstrates some forward-thinking strategic adaptation — particularly the AI pivot and MCP server positioning that could transform the company from an app to infrastructure. However, the Glassdoor rating of 2.3/5 with 26% CEO approval reveals a deeply problematic internal culture that undermines Sinek's foundational principle of Trusting Teams. Founder Wang's 79.2% voting control on 16.4% economic ownership concentrates power in a way that limits stakeholder voice. The aggressive feature expansion (crypto, prediction markets, futures, AI) reflects finite-game market share capture, and the early-stage public company profile provides insufficient history to judge endurance through adversity.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Webull's mission to democratize investing through technology is stated but shallow — interchangeable with Robinhood, eToro, SoFi, and every other retail fintech brokerage [2]. The purpose doesn't shape behavior differently from competitors: the same features, same aggressive expansion, same growth-at-all-costs approach. CEO Denier's narrative focuses on growth metrics and competitive positioning rather than a vision of a future state that doesn't yet exist.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2.3/5 (38% below finance industry average of 3.7) with 26% CEO approval and 31% employee recommendation is severely negative [2]. Recent reviews describe 'toxic work culture with extremely poor leadership and high turnover' and 'poor communication, inconsistent direction, and a lack of accountability.' Founder Wang's 79.2% voting control on 16.4% economic ownership creates a structural power imbalance inconsistent with Sinek's Circle of Safety [3]. The China-based R&amp;D team creates an additional cultural complexity across geography and regulatory boundaries.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Denier explicitly acknowledges that the competitive battleground is shifting from UI design to AI integration and execution quality, using competitors' AI capabilities as motivation to adapt rather than language about 'beating' or 'destroying' rivals [2]. Webull's MCP server positioning as infrastructure for third-party AI agents demonstrates learning from the competitive landscape. The company frames the shift as an industry evolution requiring adaptation, not a war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Webull's pivot from a traditional mobile brokerage to an AI-first platform with agentic trading capabilities represents meaningful strategic evolution [2]. The MCP server repositions the company as infrastructure for AI agents rather than just a consumer app — a significant reconceptualization. However, the company's short history (founded 2016, public 2025) limits evidence of navigating real adversity, and the AI pivot is still early with unproven commercial durability.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Denier's public acknowledgment that UI-based competition is ending demonstrates intellectual honesty about the company's core business being disrupted, and the investment in AI infrastructure (Vega, MCP server) that could cannibalize the traditional app experience shows willingness to sacrifice near-term stability [2]. The AI pivot requires resources: Q1 operating expenses rose 64% on technology and marketing spending. However, the path from recognition to execution remains unproven, and whether these investments represent courage or trend-following is unclear for a company this young.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Webull at $5.95 with a ~$3.2B market cap offers a high-growth fintech platform accelerating on multiple vectors: Q2 2026 revenue surged 51% YoY to $198.8M with adjusted operating profit tripling to $62.6M, customer assets grew 79% to $28.5B, and funded accounts reached 5.13M [1]. At ~4.8x TTM revenue ($672M) with a forward P/E of 19.2x, Webull trades at a discount to Robinhood while demonstrating comparable or superior growth rates. The AI strategy is tangible — Vega serves 1.2M weekly users, Vega Portfolio and MCP server shipped, and the FINRA Pattern Day Trader rule change on June 4 was 'the defining event' expanding the active trader addressable market [1][2]. The nearly debt-free balance sheet ($1.93B cash, D/E 7.5%) provides substantial runway for investment and global expansion across 15+ countries.</w:t>
      </w:r>
    </w:p>
    <w:p>
      <w:pPr>
        <w:spacing w:after="120"/>
      </w:pPr>
      <w:r>
        <w:rPr>
          <w:rFonts w:ascii="Calibri" w:hAnsi="Calibri"/>
          <w:b w:val="0"/>
          <w:color w:val="3A4A28"/>
          <w:sz w:val="20"/>
        </w:rPr>
        <w:t>The bear case centers on governance risk, cultural weakness, and competitive intensity. Founder Wang Anquan's 79.2% voting control on 16.4% economic ownership creates a dual-class structure limiting public shareholder influence and board independence [3]. Glassdoor rating of 2.3/5 with 26% CEO approval signals deeply problematic workplace culture that could impair talent retention and execution quality [2]. Payment for order flow constituted 53%+ of 2025 revenue, creating existential risk if regulatory action eliminates PFOF — a scenario under active SEC consideration [3]. The stock has declined 19% from $7.32 since August 2026 (and substantially more from post-SPAC highs), reflecting market skepticism about governance and profitability sustainability. Trailing P/E of 74.4x indicates that GAAP profitability remains thin despite the strong Q2. Past FINRA fines and compliance deficiencies in options approval and customer complaint handling highlight systemic regulatory risk for a rapidly growing brokerage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FINRA Pattern Day Trader rule elimination (June 4, 2026) expanding Webull's active trader addressable market, with Q2 results already showing equity volume +73% and options volume +68% as the 'defining event for the quarter' [1]</w:t>
      </w:r>
    </w:p>
    <w:p>
      <w:pPr>
        <w:spacing w:before="40" w:after="40"/>
        <w:ind w:left="283"/>
      </w:pPr>
      <w:r>
        <w:rPr>
          <w:rFonts w:ascii="Calibri" w:hAnsi="Calibri"/>
          <w:b/>
          <w:color w:val="4A6B25"/>
          <w:sz w:val="20"/>
        </w:rPr>
        <w:t xml:space="preserve">2. </w:t>
      </w:r>
      <w:r>
        <w:rPr>
          <w:rFonts w:ascii="Calibri" w:hAnsi="Calibri"/>
          <w:b w:val="0"/>
          <w:color w:val="3A4A28"/>
          <w:sz w:val="20"/>
        </w:rPr>
        <w:t>Vega AI platform adoption reaching 1.2M weekly users (1 in 8 consulting before trading), with Vega Analyst and enhanced AI Portfolio capabilities in development to drive engagement and retention [2]</w:t>
      </w:r>
    </w:p>
    <w:p>
      <w:pPr>
        <w:spacing w:before="40" w:after="40"/>
        <w:ind w:left="283"/>
      </w:pPr>
      <w:r>
        <w:rPr>
          <w:rFonts w:ascii="Calibri" w:hAnsi="Calibri"/>
          <w:b/>
          <w:color w:val="4A6B25"/>
          <w:sz w:val="20"/>
        </w:rPr>
        <w:t xml:space="preserve">3. </w:t>
      </w:r>
      <w:r>
        <w:rPr>
          <w:rFonts w:ascii="Calibri" w:hAnsi="Calibri"/>
          <w:b w:val="0"/>
          <w:color w:val="3A4A28"/>
          <w:sz w:val="20"/>
        </w:rPr>
        <w:t>Forward P/E of 19.2x with revenue growing 51% and adjusted operating profit tripling represents potential multiple expansion if the company demonstrates sustainable GAAP profitability in coming quarters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Founder Wang Anquan's 79.2% voting control on 16.4% economic ownership limits shareholder rights and board independence, with China-based R&amp;D operations adding geopolitical risk that could escalate via CFIUS or regulatory action [3]</w:t>
      </w:r>
    </w:p>
    <w:p>
      <w:pPr>
        <w:spacing w:before="40" w:after="40"/>
        <w:ind w:left="283"/>
      </w:pPr>
      <w:r>
        <w:rPr>
          <w:rFonts w:ascii="Calibri" w:hAnsi="Calibri"/>
          <w:b/>
          <w:color w:val="4A6B25"/>
          <w:sz w:val="20"/>
        </w:rPr>
        <w:t xml:space="preserve">2. </w:t>
      </w:r>
      <w:r>
        <w:rPr>
          <w:rFonts w:ascii="Calibri" w:hAnsi="Calibri"/>
          <w:b w:val="0"/>
          <w:color w:val="3A4A28"/>
          <w:sz w:val="20"/>
        </w:rPr>
        <w:t>Payment for order flow concentration (53%+ of 2025 revenue) creates existential business model risk if SEC eliminates or restricts PFOF, requiring fundamental revenue restructuring [3]</w:t>
      </w:r>
    </w:p>
    <w:p>
      <w:pPr>
        <w:spacing w:before="40" w:after="40"/>
        <w:ind w:left="283"/>
      </w:pPr>
      <w:r>
        <w:rPr>
          <w:rFonts w:ascii="Calibri" w:hAnsi="Calibri"/>
          <w:b/>
          <w:color w:val="4A6B25"/>
          <w:sz w:val="20"/>
        </w:rPr>
        <w:t xml:space="preserve">3. </w:t>
      </w:r>
      <w:r>
        <w:rPr>
          <w:rFonts w:ascii="Calibri" w:hAnsi="Calibri"/>
          <w:b w:val="0"/>
          <w:color w:val="3A4A28"/>
          <w:sz w:val="20"/>
        </w:rPr>
        <w:t>Glassdoor rating of 2.3/5 with 26% CEO approval and recent reviews describing 'toxic work culture' signals retention and execution risk for a company dependent on technology talent to execute its AI-first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Webull's core brokerage business faces real AI substitution risk — AI-powered trading agents could bypass the app interface entirely, and CEO Denier explicitly acknowledges 'competing simply on a user interface on a smartphone is no longer going to be a battleground' [2]. Payment for order flow revenue (53%+ of 2025 revenue) is vulnerable if AI agents route orders directly to exchanges. However, Webull is proactively adapting: the MCP server positions Webull as execution infrastructure FOR AI agents rather than a victim of them, and the company's regulatory licenses, clearing infrastructure, and custody services create barriers AI alone cannot replicate. The FINRA rule change removing pattern day trader barriers was 'the defining event' for Q2, expanding the addressable market [1]. AI Opportunity (1/1): Vega AI serves 1.2M weekly users (1 in 8 consult before trading), Vega Portfolio launched July 2026 for agentic portfolio construction, and Q2 adjusted operating profit tripled YoY to $62.6M partly driven by AI-enhanced engagement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Webull Q1-Q2 2026 Financial Results — Q1 Revenue $159.9M (+36%), Q2 Revenue $198.8M (+51%), Q2 Adjusted Operating Profit $62.6M, Customer Assets $28.5B (+79%), Funded Accounts 5.13M — SEC 6-K Filings, Nasdaq, Seeking Alpha, 2026</w:t>
      </w:r>
    </w:p>
    <w:p>
      <w:pPr>
        <w:spacing w:before="20" w:after="20"/>
        <w:ind w:left="170"/>
      </w:pPr>
      <w:r>
        <w:rPr>
          <w:rFonts w:ascii="Calibri" w:hAnsi="Calibri"/>
          <w:b/>
          <w:color w:val="4A6B25"/>
          <w:sz w:val="15"/>
        </w:rPr>
        <w:t xml:space="preserve">2. </w:t>
      </w:r>
      <w:r>
        <w:rPr>
          <w:rFonts w:ascii="Calibri" w:hAnsi="Calibri"/>
          <w:b w:val="0"/>
          <w:color w:val="3A4A28"/>
          <w:sz w:val="17"/>
        </w:rPr>
        <w:t>Webull AI Strategy, Glassdoor Culture, and Leadership — Vega AI 1.2M Weekly Users, Vega Portfolio Launch, CEO Denier Commentary, Glassdoor 2.3/5 Rating — Yahoo Finance, Glassdoor, PRNewswire, 2026</w:t>
      </w:r>
    </w:p>
    <w:p>
      <w:pPr>
        <w:spacing w:before="20" w:after="20"/>
        <w:ind w:left="170"/>
      </w:pPr>
      <w:r>
        <w:rPr>
          <w:rFonts w:ascii="Calibri" w:hAnsi="Calibri"/>
          <w:b/>
          <w:color w:val="4A6B25"/>
          <w:sz w:val="15"/>
        </w:rPr>
        <w:t xml:space="preserve">3. </w:t>
      </w:r>
      <w:r>
        <w:rPr>
          <w:rFonts w:ascii="Calibri" w:hAnsi="Calibri"/>
          <w:b w:val="0"/>
          <w:color w:val="3A4A28"/>
          <w:sz w:val="17"/>
        </w:rPr>
        <w:t>Webull Governance, Regulatory Risk — Wang 79.2% Voting Control, PFOF Revenue Concentration, FINRA Compliance History, SEC Filings — SEC 20-F, Finance Magnates,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