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BUR</w:t>
      </w:r>
      <w:r>
        <w:rPr>
          <w:rFonts w:ascii="Calibri" w:hAnsi="Calibri"/>
          <w:b/>
          <w:color w:val="1A2010"/>
          <w:sz w:val="40"/>
        </w:rPr>
        <w:t xml:space="preserve">  Burford Capital Limited</w:t>
      </w:r>
    </w:p>
    <w:p>
      <w:pPr>
        <w:spacing w:after="120"/>
      </w:pPr>
      <w:r>
        <w:rPr>
          <w:rFonts w:ascii="Calibri" w:hAnsi="Calibri"/>
          <w:b/>
          <w:color w:val="6E8450"/>
          <w:sz w:val="18"/>
        </w:rPr>
        <w:t>DIVIDEND SLEEVE · 2026-09-13 · Inspire: 0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57</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Financials · Asset Management · NYSE · United States</w:t>
      </w:r>
    </w:p>
    <w:p>
      <w:pPr>
        <w:spacing w:after="80"/>
      </w:pPr>
      <w:r>
        <w:rPr>
          <w:rFonts w:ascii="Calibri" w:hAnsi="Calibri"/>
          <w:b w:val="0"/>
          <w:color w:val="3A4A28"/>
          <w:sz w:val="20"/>
        </w:rPr>
        <w:t>Burford Capital is the world's largest litigation finance company, providing capital against the underlying value of litigation and legal assets. Founded in 2009 by attorneys Christopher Bogart (CEO) and Jonathan Molot (CIO), the company has committed $12.1B cumulatively across thousands of matters with a portfolio of $7.4B in legal finance assets [1]. Burford suffered a massive $1.63B non-cash write-off in Q1 2026 after the U.S. Second Circuit reversed an $18B judgment against Argentina related to the YPF expropriation case in March 2026 [3]. Despite this setback, Q2 2026 revenue of $110.68M exceeded consensus estimates, and the company held $733M in cash with operations continuing across its diversified portfolio. Dual-listed on NYSE and the London Stock Exchange.</w:t>
      </w:r>
    </w:p>
    <w:p>
      <w:r>
        <w:rPr>
          <w:rFonts w:ascii="Calibri" w:hAnsi="Calibri"/>
          <w:b/>
          <w:color w:val="6E8450"/>
          <w:sz w:val="18"/>
        </w:rPr>
        <w:t>200 Employees · https://www.burfordcapital.com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Burford pioneered the litigation finance industry, building it from a niche concept to a $7.4B global portfolio over 17 years. The company has successfully expanded beyond pure litigation funding into asset recovery, complex strategies, and post-settlement finance — multiple meaningful business extensions that opened new revenue streams [1]. The cumulative $12.1B in commitments with 91% of concluded matters generating recoveries demonstrates proven investment execution over nearly two decades. AI Deployment (0/2): No AI-powered products or quantifiable AI-driven results reported. CEO Bogart has discussed generative AI's potential impact on arbitration finance but no specific AI deployment generating measurable revenue or cost savings has been disclosed [2]. Market Share (2/2): Burford is the undisputed global leader in litigation finance — the largest provider by portfolio size ($7.4B), origination volume, and geographic reach, with operations spanning the US, UK, Europe, and Asia [1]. No competitor approaches Burford's scale or breadth. Product Pipeline (1/2): General expansion of legal finance products including law firm equity investments, alternative legal service delivery, and legal tech applications. However, no specific next-gen products with named launch dates or revenue visibility have been announced. R&amp;D Intensity (0/1): Not applicable in the traditional sense for a financial services firm. No R&amp;D spending category exists.</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Burford's foundational mission — improving access to justice by providing capital to parties with meritorious legal claims who lack resources to pursue them — is specific, thoughtful, and meaningfully differentiates from typical financial firms. The purpose connects capital markets to the legal system's promise of equal access, and the co-founders' backgrounds as attorneys lend authenticity [2]. However, the mission also serves profit maximization (litigation financing is highly lucrative when cases succeed), creating tension between purpose and profit. Community Impact (1/2): The litigation finance model inherently provides access to justice — enabling plaintiffs to pursue valid claims against well-resourced defendants — which serves a genuine social function. This is distinct from generic corporate philanthropy because the social value is embedded in the business model, though it is also profit-driven [1]. Employee Retention (1/2): Co-founders Bogart and Molot have led the company for 17 years, providing exceptional leadership continuity. The specialized nature of litigation finance (requiring legal and financial expertise) likely drives above-average retention in a small 200-person team, though no specific turnover data is available. Insider Buying (0/2): Only evidence is a small COO dividend reinvestment. No meaningful net insider buying by CEO Bogart or CIO Molot identified.</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calculated from available financial metrics (yfinance unavailable; data sourced from public filings and financial databases). Forward P/E of 4.91 scores a perfect 1.0 — dramatically below the 20x target and the asset management industry median of 11.24x, reflecting the market's extreme discounting of the YPF reversal and litigation finance uncertainty [1]. D/E of 86.92% scores 0.93, representing manageable leverage for a litigation finance firm where debt funds case investments similar to a bank's lending operations. TTM ROE of 2.57% scores only 0.17, heavily distorted by the $1.63B YPF non-cash write-off in Q1 2026 [3]. TTM profit margin is deeply negative due to the same YPF charge, scoring 0. Payout ratio of ~14% scores 1.0, reflecting a well-covered dividend. Consecutive years paid estimated at ~15 (since 2009 AIM listing) scores 1.0 (2x weight). Revenue growth and 5yr CAGR excluded as null due to litigation finance revenue's inherent lumpiness. Weighted sum: 5.10/7 × 10 = 7.3, rounds to 7. Passes liquidity floor with estimated daily dollar volume of ~$4.5M.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5</w:t>
      </w:r>
      <w:r>
        <w:rPr>
          <w:rFonts w:ascii="Calibri" w:hAnsi="Calibri"/>
          <w:b w:val="0"/>
          <w:color w:val="9DAF88"/>
          <w:sz w:val="18"/>
        </w:rPr>
        <w:t xml:space="preserve"> /10</w:t>
      </w:r>
    </w:p>
    <w:p>
      <w:pPr>
        <w:spacing w:after="120"/>
      </w:pPr>
      <w:r>
        <w:rPr>
          <w:rFonts w:ascii="Calibri" w:hAnsi="Calibri"/>
          <w:b w:val="0"/>
          <w:color w:val="3A4A28"/>
          <w:sz w:val="18"/>
        </w:rPr>
        <w:t>Burford Capital demonstrates several hallmarks of infinite game thinking — a genuine purpose connecting finance to justice, 17 years of consistent leadership under co-founders Bogart and Molot, and meaningful business model evolution from pure litigation funding to a diversified legal finance platform. The company's response to the devastating YPF reversal (maintaining operations, dividends, and strategic direction despite a $1.63B write-off) will be a defining test of infinite game resilience. However, the company's heavy concentration on the YPF case (which represented a disproportionate share of expected value) reveals a finite-game risk management gap — true infinite players diversify to endure any single loss [3].</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Burford's purpose — improving access to justice by democratizing litigation finance — is genuine, distinctive, and connects the company's work to a fundamental societal value. The co-founders' backgrounds as attorneys lend authenticity to this cause, and the company has consistently articulated it for 17 years [2]. The purpose has partially shaped strategic decisions — entering new geographies, expanding product offerings, and funding cases against sovereign governments. However, the YPF case (seeking $18B from Argentina) tested the boundary between access to justice and speculative sovereign litigation, and the cause hasn't been validated through the kind of crisis that Sinek's framework demands — the YPF reversal is that test, and the outcome remains uncertain.</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Co-founders Bogart and Molot have provided 17 years of continuous leadership — exceptional stability for any company and particularly notable in financial services where leadership turnover is common [2]. The small team (~200 employees) with specialized legal and financial expertise suggests a cohesive, high-trust environment where individual contributions are visible. No evidence of major layoffs, cultural dysfunction, or organizational instability. However, no specific data on employee empowerment, psychological safety, or retention metrics is available to support a higher score.</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Burford's competitive positioning emphasizes its market-leading scale and origination advantage rather than acknowledging competitors' strengths. As the dominant player in litigation finance, the company's language frames smaller competitors (Longford Capital, Therium, Litigation Capital Management) as followers rather than worthy rivals whose strengths push Burford to improve. No evidence of management commentary referencing what competitors do better or how competitive pressure drives self-improvement.</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Burford has meaningfully evolved from a pure litigation funder to a diversified legal finance platform — adding asset recovery, complex strategies, post-settlement finance, and law firm equity investments over 17 years [1]. This represents genuine strategic evolution, entering adjacent markets and developing new product categories. However, the core business model (financing litigation for a return) has remained fundamentally unchanged — the evolution has been incremental expansion rather than transformative reinvention.</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The co-founders have maintained the company's strategic direction despite the devastating YPF reversal — the Second Circuit's March 2026 decision vacating the $18B judgment triggered a $1.63B non-cash write-off and cratered the stock price [3]. Continuing to pay dividends, invest in new cases, and operate normally through this crisis demonstrates conviction. However, the concentration of so much expected value in a single sovereign litigation case (YPF) represents a risk management failure rather than courageous leadership — true courage would have been diversifying away from a single binary outcome.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Burford Capital at a forward P/E of 4.91 — 56% below the asset management industry median — represents a deep value opportunity in the global leader of litigation finance. The company's $7.4B portfolio of legal assets, $12.1B in cumulative commitments, and 91% concluded-case recovery rate demonstrate a durable franchise that the market has dramatically discounted following the YPF reversal [1]. Q2 2026 revenue of $110.68M beating consensus by 7% shows the core business continues to generate returns independent of the YPF outcome. Cash of $733M provides ample liquidity, and the maintained dividend (2.83% yield, ~14% payout ratio) signals management confidence in ongoing cash generation. The specialized nature of litigation finance — requiring deep legal expertise, case origination relationships, and portfolio management skill — creates a wide moat that no competitor has replicated at Burford's scale [2].</w:t>
      </w:r>
    </w:p>
    <w:p>
      <w:pPr>
        <w:spacing w:after="120"/>
      </w:pPr>
      <w:r>
        <w:rPr>
          <w:rFonts w:ascii="Calibri" w:hAnsi="Calibri"/>
          <w:b w:val="0"/>
          <w:color w:val="3A4A28"/>
          <w:sz w:val="20"/>
        </w:rPr>
        <w:t>The bear case centers on the YPF catastrophe and the structural opacity of litigation finance. The Second Circuit's March 2026 reversal of the $18B judgment against Argentina triggered a $1.63B non-cash write-off and cratered the stock from ~$12 to ~$4.50 — the company's largest single investment loss in history [3]. Even if Burford pursues further legal remedies (Supreme Court petition), the probability-weighted value of the YPF claim has been permanently impaired. The TTM ROE of 2.57% and deeply negative profit margin reflect a company whose reported financials are unreliable indicators of underlying economics due to mark-to-market accounting on a lumpy, binary portfolio. D/E of 86.92% with $1.78B in total debt against only $733M in cash creates balance sheet risk if case resolutions slow. The inherent opacity of litigation investment portfolios — where case outcomes are binary and timing is unpredictable — makes intrinsic valuation extremely difficult. The stock's 52-week decline and zero insider buying beyond dividend reinvestment suggest limited internal conviction at current prices.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Portfolio cash generation excluding YPF — Q2 2026 was the strongest cash quarter since Q1 2025, demonstrating the core business generates returns independent of the Argentina litigation outcome [1]</w:t>
      </w:r>
    </w:p>
    <w:p>
      <w:pPr>
        <w:spacing w:before="40" w:after="40"/>
        <w:ind w:left="283"/>
      </w:pPr>
      <w:r>
        <w:rPr>
          <w:rFonts w:ascii="Calibri" w:hAnsi="Calibri"/>
          <w:b/>
          <w:color w:val="4A6B25"/>
          <w:sz w:val="20"/>
        </w:rPr>
        <w:t xml:space="preserve">2. </w:t>
      </w:r>
      <w:r>
        <w:rPr>
          <w:rFonts w:ascii="Calibri" w:hAnsi="Calibri"/>
          <w:b w:val="0"/>
          <w:color w:val="3A4A28"/>
          <w:sz w:val="20"/>
        </w:rPr>
        <w:t>Potential Supreme Court petition on the YPF case — any favorable development in further appeals could restore a meaningful portion of the $1.63B write-off, creating significant upside from current depressed levels [3]</w:t>
      </w:r>
    </w:p>
    <w:p>
      <w:pPr>
        <w:spacing w:before="40" w:after="40"/>
        <w:ind w:left="283"/>
      </w:pPr>
      <w:r>
        <w:rPr>
          <w:rFonts w:ascii="Calibri" w:hAnsi="Calibri"/>
          <w:b/>
          <w:color w:val="4A6B25"/>
          <w:sz w:val="20"/>
        </w:rPr>
        <w:t xml:space="preserve">3. </w:t>
      </w:r>
      <w:r>
        <w:rPr>
          <w:rFonts w:ascii="Calibri" w:hAnsi="Calibri"/>
          <w:b w:val="0"/>
          <w:color w:val="3A4A28"/>
          <w:sz w:val="20"/>
        </w:rPr>
        <w:t>New case originations leveraging the market-leading position — Burford's origination engine continues to deploy capital into new matters at attractive expected returns, compounding portfolio value over multi-year time horizons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YPF case impairment may be permanent — the Second Circuit's reversal of the $18B judgment on substantive legal grounds (Argentine law does not support the breach of contract claims) makes Supreme Court reversal unlikely, and the $1.63B write-off may not be recovered [3]</w:t>
      </w:r>
    </w:p>
    <w:p>
      <w:pPr>
        <w:spacing w:before="40" w:after="40"/>
        <w:ind w:left="283"/>
      </w:pPr>
      <w:r>
        <w:rPr>
          <w:rFonts w:ascii="Calibri" w:hAnsi="Calibri"/>
          <w:b/>
          <w:color w:val="4A6B25"/>
          <w:sz w:val="20"/>
        </w:rPr>
        <w:t xml:space="preserve">2. </w:t>
      </w:r>
      <w:r>
        <w:rPr>
          <w:rFonts w:ascii="Calibri" w:hAnsi="Calibri"/>
          <w:b w:val="0"/>
          <w:color w:val="3A4A28"/>
          <w:sz w:val="20"/>
        </w:rPr>
        <w:t>Balance sheet leverage with $1.78B in debt against $733M in cash creates vulnerability if case resolutions slow or additional large positions experience adverse outcomes, potentially threatening the dividend or requiring dilutive capital raises</w:t>
      </w:r>
    </w:p>
    <w:p>
      <w:pPr>
        <w:spacing w:before="40" w:after="40"/>
        <w:ind w:left="283"/>
      </w:pPr>
      <w:r>
        <w:rPr>
          <w:rFonts w:ascii="Calibri" w:hAnsi="Calibri"/>
          <w:b/>
          <w:color w:val="4A6B25"/>
          <w:sz w:val="20"/>
        </w:rPr>
        <w:t xml:space="preserve">3. </w:t>
      </w:r>
      <w:r>
        <w:rPr>
          <w:rFonts w:ascii="Calibri" w:hAnsi="Calibri"/>
          <w:b w:val="0"/>
          <w:color w:val="3A4A28"/>
          <w:sz w:val="20"/>
        </w:rPr>
        <w:t>Structural opacity of litigation finance portfolios — binary case outcomes, unpredictable timing, and mark-to-market accounting make financial performance inherently lumpy and difficult for investors to underwrite, keeping the valuation discount persistent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Burford's core business — evaluating, underwriting, and managing complex litigation investments — is well protected from AI disruption. Litigation finance requires deep human judgment on case merits, legal strategy, jurisdictional nuances, and counterparty dynamics that AI cannot replicate [2]. The business is relationship-intensive, requiring personal relationships with law firms, corporate legal departments, and arbitration practitioners across dozens of jurisdictions. Court proceedings, regulatory frameworks, and case-specific factual analysis create structural barriers to AI substitution. AI tools may enhance legal research and due diligence efficiency, but the core investment judgment on multi-million-dollar cases remains inherently human. However, AI could marginally compress the information advantage that Burford's scale and experience provide by making legal analytics more widely available. AI Opportunity (0/1): No AI-related revenue generated. While the company likely uses computational tools in case analysis and portfolio management, no AI products or services are offered to clients.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Burford Capital Q1 and Q2 2026 Financial Results — Q2 revenue $110.68M (beat $103.08M), cash $733M, portfolio $7.4B, cumulative $12.1B committed, 91% recovery rate — SEC Form 8-K, PR Newswire</w:t>
      </w:r>
    </w:p>
    <w:p>
      <w:pPr>
        <w:spacing w:before="20" w:after="20"/>
        <w:ind w:left="170"/>
      </w:pPr>
      <w:r>
        <w:rPr>
          <w:rFonts w:ascii="Calibri" w:hAnsi="Calibri"/>
          <w:b/>
          <w:color w:val="4A6B25"/>
          <w:sz w:val="15"/>
        </w:rPr>
        <w:t xml:space="preserve">2. </w:t>
      </w:r>
      <w:r>
        <w:rPr>
          <w:rFonts w:ascii="Calibri" w:hAnsi="Calibri"/>
          <w:b w:val="0"/>
          <w:color w:val="3A4A28"/>
          <w:sz w:val="17"/>
        </w:rPr>
        <w:t>Burford Capital Corporate Overview — Co-founders Christopher Bogart (CEO) and Jonathan Molot (CIO), founded 2009, largest global litigation finance provider — Bloomberg Law, Legally Speaking Podcast</w:t>
      </w:r>
    </w:p>
    <w:p>
      <w:pPr>
        <w:spacing w:before="20" w:after="20"/>
        <w:ind w:left="170"/>
      </w:pPr>
      <w:r>
        <w:rPr>
          <w:rFonts w:ascii="Calibri" w:hAnsi="Calibri"/>
          <w:b/>
          <w:color w:val="4A6B25"/>
          <w:sz w:val="15"/>
        </w:rPr>
        <w:t xml:space="preserve">3. </w:t>
      </w:r>
      <w:r>
        <w:rPr>
          <w:rFonts w:ascii="Calibri" w:hAnsi="Calibri"/>
          <w:b w:val="0"/>
          <w:color w:val="3A4A28"/>
          <w:sz w:val="17"/>
        </w:rPr>
        <w:t>Burford Capital YPF Case — Second Circuit reversed $18B judgment March 2026, $1.63B non-cash write-off Q1 2026, Sullivan &amp; Cromwell analysis, Buenos Aires Herald</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