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BWIN</w:t>
      </w:r>
      <w:r>
        <w:rPr>
          <w:rFonts w:ascii="Calibri" w:hAnsi="Calibri"/>
          <w:b/>
          <w:color w:val="1A2010"/>
          <w:sz w:val="40"/>
        </w:rPr>
        <w:t xml:space="preserve">  The Baldwin Insurance Group, Inc.</w:t>
      </w:r>
    </w:p>
    <w:p>
      <w:pPr>
        <w:spacing w:after="120"/>
      </w:pPr>
      <w:r>
        <w:rPr>
          <w:rFonts w:ascii="Calibri" w:hAnsi="Calibri"/>
          <w:b/>
          <w:color w:val="6E8450"/>
          <w:sz w:val="18"/>
        </w:rPr>
        <w:t>GROWTH SLEEVE · 2026-09-16 · Inspire: 35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Brokers · NASDAQ · United States</w:t>
      </w:r>
    </w:p>
    <w:p>
      <w:pPr>
        <w:spacing w:after="80"/>
      </w:pPr>
      <w:r>
        <w:rPr>
          <w:rFonts w:ascii="Calibri" w:hAnsi="Calibri"/>
          <w:b w:val="0"/>
          <w:color w:val="3A4A28"/>
          <w:sz w:val="20"/>
        </w:rPr>
        <w:t>The Baldwin Insurance Group is an independent insurance distribution firm providing risk management solutions across three segments: Insurance Advisory Solutions (private risk, commercial risk, employee benefits), Underwriting, Capacity &amp; Technology Solutions (technology-enabled MGA platform), and Mainstreet Insurance Solutions (personal and commercial insurance). Formerly BRP Group, renamed May 2024. Q2 2026 revenue grew 30% YoY to $492.9M with adjusted EBITDA of $116.7M (23.7% margin). Full-year 2026 guidance of $2.01B-$2.05B. The company announced an expanded enterprise AI partnership with Anthropic in May 2026 and is executing a '$3B/30 Catalyst' transformation program targeting 30% margins. Market cap ~$3.1B.</w:t>
      </w:r>
    </w:p>
    <w:p>
      <w:r>
        <w:rPr>
          <w:rFonts w:ascii="Calibri" w:hAnsi="Calibri"/>
          <w:b/>
          <w:color w:val="6E8450"/>
          <w:sz w:val="18"/>
        </w:rPr>
        <w:t>5,000 Employees · https://www.baldwin.com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Baldwin has executed a transformative acquisition-driven evolution from a small Tampa insurance agency (founded 2011) to a $2B+ national platform. The January 2026 closure of CAC Group, OBE, and Capstone partnerships (~$400M pro forma revenue) was the most significant strategic move, with integration running ahead of schedule and $34M of $43M three-year synergy targets already actioned [1]. Q2 2026 revenue surged 30% YoY to $492.9M, and adjusted EBITDA grew 37% to $116.7M [1]. AI Deployment (2/2): Baldwin announced an expanded enterprise partnership with Anthropic in May 2026, deploying Claude firm-wide across all segments for risk analysis, client information synthesis, and tailored insurance solutions [2]. Pilot deployments demonstrated measurable productivity improvements. HFS Research highlighted Baldwin's GenAI deployment with Persistent as a case study in building the 'broker of the future.' Market Share (1/2): Baldwin is approaching $2B annual revenue, making it a meaningful national insurance distributor, but remains significantly smaller than Marsh McLennan, Aon, WTW, and Brown &amp; Brown in the global brokerage market [1]. Product Pipeline (1/2): The '$3B/30 Catalyst' transformation program provides a specific operational roadmap targeting 30% EBITDA margins, with the UCTS technology-enabled MGA platform manufacturing insurance products across personal, commercial, and professional lines [1]. Management expects to exit 2026 on a double-digit organic growth run rate. R&amp;D Intensity (1/1): Dedicated CTO and Chief Insurance Innovation Officer roles, Anthropic AI enterprise partnership, and UCTS technology platform demonstrate above-average technology investment for an insurance distributor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Baldwin's 'powered-by-people approach' guided by 'The Azimuth' values framework connects the company's work to an employee-centric purpose, and the partnership acquisition model — preserving founder cultures rather than absorbing them — demonstrates intentionality [2]. However, the mission is ultimately interchangeable with many professional services firms and doesn't articulate a transformative vision of a better future. Community Impact (0/2): No evidence of distinctive charitable programs, foundation, or quantified community investment. The company participates in standard corporate governance but no specific dollar amounts or community programs were identified [3]. Employee Retention (1/2): Great Place to Work certified with 90% of employees saying Baldwin is a great place to work (vs 57% at typical U.S. companies), 92% reporting honest and ethical management, and Fortune Best Workplaces ranking #34 in Financial Services [2]. However, Glassdoor shows only 3.5/5 overall rating with 60% recommendation and declining culture scores (-3% over 12 months), and employee reviews note burnout and executive leadership being 'out of touch.' Mixed signals. Insider Buying (0/2): Net insider selling — General Counsel sold 15,000 shares at $20.01 ($300K) in May 2026. Only stock awards (grants) to directors in July 2026. No meaningful open-market purchases identified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Baldwin's financial profile reflects a high-growth, acquisition-driven platform that remains GAAP-unprofitable during integration. Revenue growth YoY of 30.1% far exceeds the 10% target, driven by the CAC/OBE/Capstone acquisitions closed January 2026 [1]. Forward P/E of 13.1x signals significant earnings inflection ahead (forward EPS $2.48 vs trailing loss of -$1.05). However, GAAP metrics remain weak: profit margin of -4.7% and ROE of -10.7% both score 0 [4]. D/E of 180.5% reflects $2.57B in acquisition debt, scoring 0.52 — manageable but elevated for a company still GAAP-unprofitable. Five-year revenue CAGR of approximately 15% (from ~$970M in 2022 to $2B+ guided for 2026) exceeds the target. Organic revenue growth remains modest at 2% in Q1 and Q2, though management targets double-digit organic by year-end [1]. Liquidity floor cleared: 1.95M avg volume x $32.49 = $63.3M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Baldwin operates with a mixed-to-finite mindset. The partnership acquisition model — preserving founder cultures — and employee-centric values suggest some infinite thinking, but the company's strategic language centers on scale accumulation, EBITDA margins, and financial engineering. Organic growth of only 2% exposes the reliance on acquisition-driven growth over organic capability building. The go-private discussions reported in mid-2026 suggest controlling shareholders may prioritize financial outcomes over public accountability and stakeholder transparency. The $2.57B debt load and dual-class share structure concentrate power and create finite-game incentives.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Baldwin's 'powered-by-people' philosophy and partnership acquisition model — preserving local agency cultures rather than absorbing them — represents a genuine but shallow cause [2]. The approach is more operational philosophy than a transformative vision of a better future. Leadership communications center on revenue targets, EBITDA margins, and the '$3B/30 Catalyst' program rather than a purpose that transcends financial performance. The go-private exploration further signals finite-game priorities over an enduring public mission.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Great Place to Work certification with 90% positive scores and 92% reporting honest and ethical management provides some evidence of organizational trust [2]. CEO Trevor Baldwin has led since founding with consistent strategic direction. However, Glassdoor data shows a declining culture trajectory (-3% over 12 months), overall 3.5/5 rating with only 60% recommendation, and employee reviews citing burnout from covering workloads and executive leadership being 'out of touch.' The rapid acquisition pace (CAC, OBE, Capstone in January 2026) creates integration strain on existing teams.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Baldwin's leadership acknowledging competitors' strengths or framing competition as motivation to improve. The acquisitive growth-through-consolidation strategy is inherently about accumulating market share rather than self-improvement through rivalry. Competitive language focuses on scale and market position rather than learning from peers like Marsh, Aon, or Brown &amp; Brown.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Baldwin's evolution from a small Tampa agency (founded 2011) to a $2B+ national platform through the UCTS MGA model, Anthropic AI partnership, and technology-enabled distribution demonstrates meaningful strategic adaptation [1][2]. The transformation from BRP Group to Baldwin Insurance Group and expansion into underwriting and technology capabilities represent real business model evolution. However, this is incremental scaling rather than a transformative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pursue $2.57B in debt-funded acquisitions while still GAAP-unprofitable, combined with the bold Anthropic AI partnership commitment, demonstrates willingness to sacrifice near-term profitability for long-term platform scale [1][2]. Management's conviction in double-digit organic growth by year-end 2026 despite current 2% organic performance shows strategic confidence. However, the go-private exploration could reflect escape from accountability rather than courageous long-term thinking.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Baldwin Insurance Group at 13.1x forward earnings is executing an aggressive platform build that could inflect to profitability and organic growth acceleration in 2026-2027. Q2 2026 delivered $492.9M revenue (+30% YoY) with adjusted EBITDA of $116.7M (+37%, 23.7% margin — a 110bps expansion), and the company raised full-year guidance to $2.01B-$2.05B revenue [1]. Integration of the January 2026 CAC/OBE/Capstone acquisitions is running ahead of schedule with $34M of $43M synergies already actioned. The Anthropic AI enterprise partnership positions Baldwin as a technology-forward distributor, with the '$3B/30 Catalyst' program targeting 30% EBITDA margins through AI-enabled process redesign [2]. At $32.49, the stock has rallied 23% from July lows, reflecting market recognition of the earnings inflection — forward EPS of $2.48 implies a meaningful swing from the trailing loss of -$1.05.</w:t>
      </w:r>
    </w:p>
    <w:p>
      <w:pPr>
        <w:spacing w:after="120"/>
      </w:pPr>
      <w:r>
        <w:rPr>
          <w:rFonts w:ascii="Calibri" w:hAnsi="Calibri"/>
          <w:b w:val="0"/>
          <w:color w:val="3A4A28"/>
          <w:sz w:val="20"/>
        </w:rPr>
        <w:t>The bear case centers on organic growth weakness, leverage, and governance risk. Organic revenue growth remains a meager 2% in both Q1 and Q2 2026, meaning nearly all reported growth is acquisition-driven — if deal flow slows or synergies disappoint, the growth narrative collapses [1]. GAAP profitability remains negative (trailing profit margin -4.7%, ROE -10.7%) despite $1.74B in revenue, with heavy amortization and integration costs masking underlying economics. D/E of 180.5% with $2.57B in debt against $184M cash creates refinancing risk and interest rate sensitivity [4]. The dual-class share structure concentrating 70%+ voting power with founders, combined with go-private discussions reported in mid-2026, creates governance risk for minority Class A shareholders who could face a take-private at an unattractive price [3]. Insurance brokerage faces real AI disintermediation risk in personal lines and small commercial segments, even as Baldwin invests in AI offensively through the Anthropic partnership. Net insider selling in 2026 raises questions about management conviction at current prices.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Organic revenue growth acceleration toward management's double-digit exit-rate target for 2026, with remaining $9M of CAC synergies and Anthropic AI-driven productivity gains providing levers for margin expansion toward the 30% EBITDA target [1][2]</w:t>
      </w:r>
    </w:p>
    <w:p>
      <w:pPr>
        <w:spacing w:before="40" w:after="40"/>
        <w:ind w:left="283"/>
      </w:pPr>
      <w:r>
        <w:rPr>
          <w:rFonts w:ascii="Calibri" w:hAnsi="Calibri"/>
          <w:b/>
          <w:color w:val="4A6B25"/>
          <w:sz w:val="20"/>
        </w:rPr>
        <w:t xml:space="preserve">2. </w:t>
      </w:r>
      <w:r>
        <w:rPr>
          <w:rFonts w:ascii="Calibri" w:hAnsi="Calibri"/>
          <w:b w:val="0"/>
          <w:color w:val="3A4A28"/>
          <w:sz w:val="20"/>
        </w:rPr>
        <w:t>GAAP profitability inflection — forward EPS of $2.48 vs trailing loss of -$1.05 suggests 2026/2027 will mark the transition from GAAP-unprofitable roll-up to profitable platform, which could trigger multiple re-rating [4]</w:t>
      </w:r>
    </w:p>
    <w:p>
      <w:pPr>
        <w:spacing w:before="40" w:after="40"/>
        <w:ind w:left="283"/>
      </w:pPr>
      <w:r>
        <w:rPr>
          <w:rFonts w:ascii="Calibri" w:hAnsi="Calibri"/>
          <w:b/>
          <w:color w:val="4A6B25"/>
          <w:sz w:val="20"/>
        </w:rPr>
        <w:t xml:space="preserve">3. </w:t>
      </w:r>
      <w:r>
        <w:rPr>
          <w:rFonts w:ascii="Calibri" w:hAnsi="Calibri"/>
          <w:b w:val="0"/>
          <w:color w:val="3A4A28"/>
          <w:sz w:val="20"/>
        </w:rPr>
        <w:t>Go-private potential at a premium to current market cap, given the dual-class structure and Seeking Alpha reporting suggesting credible discussions — a take-private would likely occur above the current $3.1B market cap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Organic revenue growth of only 2% in both Q1 and Q2 2026 exposes heavy reliance on acquisitions for topline growth — the $2.57B debt-funded roll-up strategy becomes unsustainable if organic growth cannot accelerate and new deal flow slows [1]</w:t>
      </w:r>
    </w:p>
    <w:p>
      <w:pPr>
        <w:spacing w:before="40" w:after="40"/>
        <w:ind w:left="283"/>
      </w:pPr>
      <w:r>
        <w:rPr>
          <w:rFonts w:ascii="Calibri" w:hAnsi="Calibri"/>
          <w:b/>
          <w:color w:val="4A6B25"/>
          <w:sz w:val="20"/>
        </w:rPr>
        <w:t xml:space="preserve">2. </w:t>
      </w:r>
      <w:r>
        <w:rPr>
          <w:rFonts w:ascii="Calibri" w:hAnsi="Calibri"/>
          <w:b w:val="0"/>
          <w:color w:val="3A4A28"/>
          <w:sz w:val="20"/>
        </w:rPr>
        <w:t>D/E of 180.5% with $2.57B total debt and -4.7% GAAP profit margin creates financial fragility — integration stumbles, rising rates, or a recession could stress the balance sheet before the platform reaches self-sustaining profitability [4]</w:t>
      </w:r>
    </w:p>
    <w:p>
      <w:pPr>
        <w:spacing w:before="40" w:after="40"/>
        <w:ind w:left="283"/>
      </w:pPr>
      <w:r>
        <w:rPr>
          <w:rFonts w:ascii="Calibri" w:hAnsi="Calibri"/>
          <w:b/>
          <w:color w:val="4A6B25"/>
          <w:sz w:val="20"/>
        </w:rPr>
        <w:t xml:space="preserve">3. </w:t>
      </w:r>
      <w:r>
        <w:rPr>
          <w:rFonts w:ascii="Calibri" w:hAnsi="Calibri"/>
          <w:b w:val="0"/>
          <w:color w:val="3A4A28"/>
          <w:sz w:val="20"/>
        </w:rPr>
        <w:t>Dual-class governance concentrating 70%+ voting power with founders creates alignment risk for minority shareholders, particularly if go-private discussions result in a transaction below intrinsic value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Insurance brokerage faces moderate AI disruption risk with significant variation by segment. Complex commercial risk advisory, high-net-worth private risk management, and employee benefits consulting in the IAS segment require relationship-based expertise and trust that AI cannot replicate [2]. However, the Mainstreet segment's simpler personal lines face real AI disintermediation risk as platforms like Munich Re's Next Insurance offer AI-driven direct policy binding. Seeking Alpha analysis concludes 'AI Fears Are Exaggerated' for Baldwin, noting the strategic upmarket shift through CAC integration insulates from AI commoditization in smaller segments [2]. CEO Trevor Baldwin stated AI will have 'profound impact on how work is done inside brokerage firms' through cycle time compression but 'will not replace people' in complex advisory roles. AI Opportunity (1/1): The May 2026 Anthropic enterprise partnership deploys Claude firm-wide with measurable productivity improvements in risk analysis, client synthesis, and workflow automation [2]. The '$3B/30 Catalyst' program explicitly targets 30% EBITDA margins through AI-enabled process redesign and role transformation, representing concrete AI-driven operational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Hiring Ethics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Baldwin Group Q1 &amp; Q2 2026 Earnings — Q1 Revenue $532.2M (+29%), Q2 Revenue $492.9M (+30%), Adj. EBITDA +37%, 23.7% Margin, $34M Synergies Actioned, Organic Growth 2%, 2026 Guidance $2.01-$2.05B</w:t>
      </w:r>
    </w:p>
    <w:p>
      <w:pPr>
        <w:spacing w:before="20" w:after="20"/>
        <w:ind w:left="170"/>
      </w:pPr>
      <w:r>
        <w:rPr>
          <w:rFonts w:ascii="Calibri" w:hAnsi="Calibri"/>
          <w:b/>
          <w:color w:val="4A6B25"/>
          <w:sz w:val="15"/>
        </w:rPr>
        <w:t xml:space="preserve">2. </w:t>
      </w:r>
      <w:r>
        <w:rPr>
          <w:rFonts w:ascii="Calibri" w:hAnsi="Calibri"/>
          <w:b w:val="0"/>
          <w:color w:val="3A4A28"/>
          <w:sz w:val="17"/>
        </w:rPr>
        <w:t>Baldwin Group Anthropic AI Partnership — Expanded Enterprise Relationship, Firm-Wide Claude Deployment, '$3B/30 Catalyst' Program, 30% Margin Target, HFS Research Case Study, May 2026</w:t>
      </w:r>
    </w:p>
    <w:p>
      <w:pPr>
        <w:spacing w:before="20" w:after="20"/>
        <w:ind w:left="170"/>
      </w:pPr>
      <w:r>
        <w:rPr>
          <w:rFonts w:ascii="Calibri" w:hAnsi="Calibri"/>
          <w:b/>
          <w:color w:val="4A6B25"/>
          <w:sz w:val="15"/>
        </w:rPr>
        <w:t xml:space="preserve">3. </w:t>
      </w:r>
      <w:r>
        <w:rPr>
          <w:rFonts w:ascii="Calibri" w:hAnsi="Calibri"/>
          <w:b w:val="0"/>
          <w:color w:val="3A4A28"/>
          <w:sz w:val="17"/>
        </w:rPr>
        <w:t>Baldwin Group Governance &amp; ESG — Go-Private Discussions (Seeking Alpha June 2026), Dual-Class Structure, GPTW Certification, Glassdoor 3.5/5 (60% Recommend), No ESG Controversies Found</w:t>
      </w:r>
    </w:p>
    <w:p>
      <w:pPr>
        <w:spacing w:before="20" w:after="20"/>
        <w:ind w:left="170"/>
      </w:pPr>
      <w:r>
        <w:rPr>
          <w:rFonts w:ascii="Calibri" w:hAnsi="Calibri"/>
          <w:b/>
          <w:color w:val="4A6B25"/>
          <w:sz w:val="15"/>
        </w:rPr>
        <w:t xml:space="preserve">4. </w:t>
      </w:r>
      <w:r>
        <w:rPr>
          <w:rFonts w:ascii="Calibri" w:hAnsi="Calibri"/>
          <w:b w:val="0"/>
          <w:color w:val="3A4A28"/>
          <w:sz w:val="17"/>
        </w:rPr>
        <w:t>Yahoo Finance — BWIN Key Statistics: Forward P/E 13.11x, D/E 180.5%, Profit Margin -4.7%, ROE -10.7%, Revenue Growth 30.1%, Stock Price $32.49, Market Cap $3.1B,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