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BWMX</w:t>
      </w:r>
      <w:r>
        <w:rPr>
          <w:rFonts w:ascii="Calibri" w:hAnsi="Calibri"/>
          <w:b/>
          <w:color w:val="1A2010"/>
          <w:sz w:val="40"/>
        </w:rPr>
        <w:t xml:space="preserve">  Betterware de Mexico, S.A.P.I. de C.V.</w:t>
      </w:r>
    </w:p>
    <w:p>
      <w:pPr>
        <w:spacing w:after="120"/>
      </w:pPr>
      <w:r>
        <w:rPr>
          <w:rFonts w:ascii="Calibri" w:hAnsi="Calibri"/>
          <w:b/>
          <w:color w:val="6E8450"/>
          <w:sz w:val="18"/>
        </w:rPr>
        <w:t>GROWTH SLEEVE · 2026-10-06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Specialty Retail · NYSE · Mexico</w:t>
      </w:r>
    </w:p>
    <w:p>
      <w:pPr>
        <w:spacing w:after="80"/>
      </w:pPr>
      <w:r>
        <w:rPr>
          <w:rFonts w:ascii="Calibri" w:hAnsi="Calibri"/>
          <w:b w:val="0"/>
          <w:color w:val="3A4A28"/>
          <w:sz w:val="20"/>
        </w:rPr>
        <w:t>Mexican direct-selling group (BeFra) marketing home organization products under Betterware and personal care/cosmetics under Jafra, with Tupperware Latin America added in mid-2026.</w:t>
      </w:r>
    </w:p>
    <w:p>
      <w:r>
        <w:rPr>
          <w:rFonts w:ascii="Calibri" w:hAnsi="Calibri"/>
          <w:b/>
          <w:color w:val="6E8450"/>
          <w:sz w:val="18"/>
        </w:rPr>
        <w:t>https://www.befra.com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scores 2: the Jafra acquisition and the 2026 Tupperware Latin America acquisition extended the platform into multi-brand direct selling, and the company launches 300+ new household products annually [2]. AI scores 1: Knime-based AI and forecasting are in use, but no quantified savings are reported [2]. Market share 1: meaningful Mexican home-products player. Pipeline 1: steady annual launches without named next-gen items. R&amp;D 0: no intensity data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 a clear but not distinctive aim of serving Mexican households and distributor entrepreneurs. Community, retention and insider-buying evidence were not found in research; the controlling Campos family holds a large stake but no net open-market buying was documented [2][3]. Scored 0 on those items per rubric.</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Calculated: D/E 339% scores 0.0; ROE 73% scores 1.0 (2x); revenue growth 16.8% scores 1.0; forward P/E 6.2 scores 1.0; profit margin 8.5% scores 0.42. 5yr revenue CAGR and PEG unavailable and excluded. Weighted 4.42/6 gives 7. Liquidity of about $1.26M daily passes the floor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Family-controlled, acquisition-driven roll-up of direct-selling brands. Shareholder returns and debt-funded deals dominate, with no distinctive Just Cause articulated.</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Purpose centers on Mexican homes and distributor income but reads as marketing and does not clearly shape strategy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Stable family-led management since 2018 with no cultural red flags found, but no standout trust evidence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Competitive framing centers on share and growth in direct selling; no evidence of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Evolution from single-brand Betterware to a multi-brand group via Jafra and Tupperware LatAm is meaningful but incremental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Acquiring Tupperware LatAm shows willingness to take large bets, though leverage (D/E 339%) leaves little cushion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Q2 2026 revenue rose 16.8% including one month of Tupperware LatAm, with organic growth accelerating to 4.1% from 0.3% in Q1 and EBITDA margin expanding to 17.4% in Q1 [1]. The stock trades at 6.2x forward earnings with 73% ROE, pricing in substantial skepticism and offering upside if Tupperware integration succeeds.</w:t>
      </w:r>
    </w:p>
    <w:p>
      <w:pPr>
        <w:spacing w:after="120"/>
      </w:pPr>
      <w:r>
        <w:rPr>
          <w:rFonts w:ascii="Calibri" w:hAnsi="Calibri"/>
          <w:b w:val="0"/>
          <w:color w:val="3A4A28"/>
          <w:sz w:val="20"/>
        </w:rPr>
        <w:t>Debt-to-equity of 339% and a 8.5% net margin leave little room for integration missteps. Organic growth remains low single digit, Mexican consumer weakness and peso moves can compress results, and the controlling family structure limits minority influence [2]. Score of 48 reflects excellent valuation offset by thin Inspiration and finite-leaning governance.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Tupperware Latin America integration and a full quarter of consolidated revenue</w:t>
      </w:r>
    </w:p>
    <w:p>
      <w:pPr>
        <w:spacing w:before="40" w:after="40"/>
        <w:ind w:left="283"/>
      </w:pPr>
      <w:r>
        <w:rPr>
          <w:rFonts w:ascii="Calibri" w:hAnsi="Calibri"/>
          <w:b/>
          <w:color w:val="4A6B25"/>
          <w:sz w:val="20"/>
        </w:rPr>
        <w:t xml:space="preserve">2. </w:t>
      </w:r>
      <w:r>
        <w:rPr>
          <w:rFonts w:ascii="Calibri" w:hAnsi="Calibri"/>
          <w:b w:val="0"/>
          <w:color w:val="3A4A28"/>
          <w:sz w:val="20"/>
        </w:rPr>
        <w:t>Continued organic growth acceleration above 4% across Betterware and Jafra</w:t>
      </w:r>
    </w:p>
    <w:p>
      <w:pPr>
        <w:spacing w:before="40" w:after="40"/>
        <w:ind w:left="283"/>
      </w:pPr>
      <w:r>
        <w:rPr>
          <w:rFonts w:ascii="Calibri" w:hAnsi="Calibri"/>
          <w:b/>
          <w:color w:val="4A6B25"/>
          <w:sz w:val="20"/>
        </w:rPr>
        <w:t xml:space="preserve">3. </w:t>
      </w:r>
      <w:r>
        <w:rPr>
          <w:rFonts w:ascii="Calibri" w:hAnsi="Calibri"/>
          <w:b w:val="0"/>
          <w:color w:val="3A4A28"/>
          <w:sz w:val="20"/>
        </w:rPr>
        <w:t>Deleveraging that lifts Infrastructure metrics from the current 339% D/E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Integration and execution risk from the Tupperware LatAm acquisition</w:t>
      </w:r>
    </w:p>
    <w:p>
      <w:pPr>
        <w:spacing w:before="40" w:after="40"/>
        <w:ind w:left="283"/>
      </w:pPr>
      <w:r>
        <w:rPr>
          <w:rFonts w:ascii="Calibri" w:hAnsi="Calibri"/>
          <w:b/>
          <w:color w:val="4A6B25"/>
          <w:sz w:val="20"/>
        </w:rPr>
        <w:t xml:space="preserve">2. </w:t>
      </w:r>
      <w:r>
        <w:rPr>
          <w:rFonts w:ascii="Calibri" w:hAnsi="Calibri"/>
          <w:b w:val="0"/>
          <w:color w:val="3A4A28"/>
          <w:sz w:val="20"/>
        </w:rPr>
        <w:t>High leverage with D/E of 339% in a rising-cost, peso-volatile environment</w:t>
      </w:r>
    </w:p>
    <w:p>
      <w:pPr>
        <w:spacing w:before="40" w:after="40"/>
        <w:ind w:left="283"/>
      </w:pPr>
      <w:r>
        <w:rPr>
          <w:rFonts w:ascii="Calibri" w:hAnsi="Calibri"/>
          <w:b/>
          <w:color w:val="4A6B25"/>
          <w:sz w:val="20"/>
        </w:rPr>
        <w:t xml:space="preserve">3. </w:t>
      </w:r>
      <w:r>
        <w:rPr>
          <w:rFonts w:ascii="Calibri" w:hAnsi="Calibri"/>
          <w:b w:val="0"/>
          <w:color w:val="3A4A28"/>
          <w:sz w:val="20"/>
        </w:rPr>
        <w:t>Weak Mexican consumer demand hitting discretionary home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Physical household goods sold through a distributor network face little direct AI substitution; the main risks are e-commerce and Mexican consumer cycles. Analysts have not flagged AI as a threat in coverage reviewed [2]. No quantifiable AI revenue, so the tiebreaker scores 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Betterware de Mexico Q2 2026 earnings call, Investing.com, 2026</w:t>
      </w:r>
    </w:p>
    <w:p>
      <w:pPr>
        <w:spacing w:before="20" w:after="20"/>
        <w:ind w:left="170"/>
      </w:pPr>
      <w:r>
        <w:rPr>
          <w:rFonts w:ascii="Calibri" w:hAnsi="Calibri"/>
          <w:b/>
          <w:color w:val="4A6B25"/>
          <w:sz w:val="15"/>
        </w:rPr>
        <w:t xml:space="preserve">2. </w:t>
      </w:r>
      <w:r>
        <w:rPr>
          <w:rFonts w:ascii="Calibri" w:hAnsi="Calibri"/>
          <w:b w:val="0"/>
          <w:color w:val="3A4A28"/>
          <w:sz w:val="17"/>
        </w:rPr>
        <w:t>Betterware de Mexico Q1 2026 earnings call transcript, April 2026; BeFra leadership and innovation disclosures, 2026</w:t>
      </w:r>
    </w:p>
    <w:p>
      <w:pPr>
        <w:spacing w:before="20" w:after="20"/>
        <w:ind w:left="170"/>
      </w:pPr>
      <w:r>
        <w:rPr>
          <w:rFonts w:ascii="Calibri" w:hAnsi="Calibri"/>
          <w:b/>
          <w:color w:val="4A6B25"/>
          <w:sz w:val="15"/>
        </w:rPr>
        <w:t xml:space="preserve">3. </w:t>
      </w:r>
      <w:r>
        <w:rPr>
          <w:rFonts w:ascii="Calibri" w:hAnsi="Calibri"/>
          <w:b w:val="0"/>
          <w:color w:val="3A4A28"/>
          <w:sz w:val="17"/>
        </w:rPr>
        <w:t>Betterware de Mexico Form 20-F FY2025, SEC,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via yfinance, BWMX key statistics,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