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BXMT</w:t>
      </w:r>
      <w:r>
        <w:rPr>
          <w:rFonts w:ascii="Calibri" w:hAnsi="Calibri"/>
          <w:b/>
          <w:color w:val="1A2010"/>
          <w:sz w:val="40"/>
        </w:rPr>
        <w:t xml:space="preserve">  Blackstone Mortgage Trust, Inc.</w:t>
      </w:r>
    </w:p>
    <w:p>
      <w:pPr>
        <w:spacing w:after="120"/>
      </w:pPr>
      <w:r>
        <w:rPr>
          <w:rFonts w:ascii="Calibri" w:hAnsi="Calibri"/>
          <w:b/>
          <w:color w:val="6E8450"/>
          <w:sz w:val="18"/>
        </w:rPr>
        <w:t>DIVIDEND SLEEVE · 2026-09-20 · Inspire: 63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Externally managed commercial mortgage REIT originating and managing senior floating rate loans secured by institutional-quality commercial real estate. Managed by Blackstone's Real Estate Debt Strategies (BREDS) platform. CEO Timothy Johnson (appointed November 2025) is Global Head of BREDS and has been with Blackstone for over a decade. Q2 2026 reported net loss of $81.2M on revenue of $23.7M (-73% YoY), while maintaining the $0.47 quarterly dividend ($1.88 annual). Incorporated 1998, one of the largest publicly traded commercial mortgage REITs.</w:t>
      </w:r>
    </w:p>
    <w:p>
      <w:r>
        <w:rPr>
          <w:rFonts w:ascii="Calibri" w:hAnsi="Calibri"/>
          <w:b/>
          <w:color w:val="6E8450"/>
          <w:sz w:val="18"/>
        </w:rPr>
        <w:t>https://www.blackstonemortgagetrust.com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BXMT has operated the same commercial mortgage lending business model for over a decade under Blackstone management, with no product launches, market pivots, or business model transformations [1]. The company originates senior secured CRE loans, collects interest, and distributes earnings. The 2023-2026 CRE downturn tested resilience but did not prompt innovation. AI Deployment (0/2): No AI deployment or strategy evident for this externally managed REIT. Loan origination and credit underwriting rely on traditional Blackstone analytical methods [3]. Market Share (1/2): BXMT is one of the largest publicly traded commercial mortgage REITs backed by Blackstone's BREDS platform, providing meaningful competitive advantage in deal sourcing and borrower relationships [3]. However, BXMT does not define or lead any market category. Product Pipeline (0/2): No new products, services, or innovations in pipeline. The company continues its established senior CRE lending strategy with no diversification. R&amp;D Intensity (0/1): Mortgage REITs have no R&amp;D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BXMT's purpose as Blackstone's public CRE lending vehicle is clear and serves an identifiable function in commercial real estate capital markets — providing institutional-quality senior secured financing for major commercial properties [3]. The connection to Blackstone's broader platform gives it some distinctiveness. However, this is a financial vehicle designed to generate returns, not a purpose that inspires beyond the obvious. Community Impact (0/2): BXMT is an externally managed investment vehicle that does not control underlying properties and is not positioned to direct community programs at the property level [4]. ESG considerations are incorporated at the Blackstone parent level. Employee Retention (0/2): Externally managed by Blackstone with minimal direct employees. No meaningful retention data for the BXMT entity itself. Insider Buying (0/2): No evidence of meaningful net insider buying. The CEO transition from Katie Keenan to Timothy Johnson in November 2025 was an internal Blackstone succession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 stock metrics. Forward P/E of 8.56 is excellent, well below the 20 target, reflecting attractive valuation relative to forward distributable earnings expectations [5]. Consecutive years of dividend payment at approximately 14 years (since 2013 rebranding) scores at maximum with 2x weight [1]. However, severe weaknesses dominate: D/E of 484.70% exceeds the 300% floor, scoring zero — while structural for mortgage REITs, the IOWN framework penalizes extreme leverage [5]. Revenue declined 73.1% YoY in Q2 2026 to $23.7M, far below the -20% floor [2]. ROE of 0.45% is barely above zero. Profit margin of 3.84% scores weakly at 0.19. The GAAP payout ratio is unsustainable — trailing EPS of $0.08 against a $1.88 annual dividend implies a 2,350% payout ratio. Distributable EPS of $0.48-0.49 per quarter covers the $0.47 dividend (98% coverage), but GAAP earnings do not [1][2]. Consecutive years of dividend growth is 0 after the September 2024 cut from $0.62 to $0.47. 5-year dividend growth CAGR is negative (-5.4%).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BXMT is a financial vehicle designed to generate returns through commercial mortgage lending — by definition a finite game enterprise. With external management by Blackstone, a purpose limited to capital deployment and income generation, and no organizational foundation for mission-driven thinking, the company lacks infinite game characteristics. The September 2024 dividend cut and focus on quarterly distributable earnings reinforce a finite, earnings-per-share orientation. The Q2 2026 net loss of $81.2M and hotel loan charges highlight the cyclical vulnerability inherent in the model.</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BXMT exists to originate commercial mortgage loans and distribute income to shareholders — a financial function, not a vision of a better future [3]. The company is externally managed by Blackstone, meaning its purpose is derivative of Blackstone's broader business strategy rather than self-generated. No articulated just cause, no mission that inspires beyond profit generation.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BXMT's external management structure means culture is set by Blackstone, not by BXMT's own leadership [3]. The leadership transition from Katie Keenan to Timothy Johnson was smooth (Johnson was already Global Head of BREDS and Board Chair, with a decade at Blackstone), suggesting institutional continuity. However, the externally managed structure with minimal direct employees provides no basis for assessing organizational trust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BXMT or its management publicly acknowledging competitors' strengths or using competitive dynamics for self-improvement. The company relies on the Blackstone platform's scale and reputation rather than defining itself relative to worthy rivals in the mortgage REIT space.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BXMT has operated the same senior CRE lending strategy for over a decade without strategic pivots [3]. The company has no flexibility to reinvent itself — it is externally managed by Blackstone and mandated to deploy capital into commercial mortgage loans. Structural rigidity is inherent to the externally managed REIT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BXMT management made the difficult decision to cut the quarterly dividend from $0.62 to $0.47 in September 2024, prioritizing balance sheet preservation over shareholder satisfaction during the CRE downturn [1]. This required courage — REIT investors are income-focused and dividend cuts trigger immediate selling pressure. Maintaining the reduced dividend through Q2 2026 despite a $81.2M net loss and hotel-loan charge demonstrates commitment to the policy [2]. However, maintaining a dividend that GAAP earnings cannot cover raises questions about whether this is sustainable prudence or deferred reckoning.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Blackstone Mortgage Trust offers a 14.17% dividend yield backed by Blackstone's BREDS platform [5]. Forward P/E of 8.56x is attractive relative to forward distributable earnings expectations, and CEO Timothy Johnson brings deep BREDS expertise as Global Head of the platform with over a decade at Blackstone [3]. The dividend of $0.47/quarter ($1.88 annual) has held steady since the September 2024 cut, and distributable EPS of $0.48-0.49 per quarter provides thin but positive coverage [1][2]. Average daily volume of 2.2M shares provides strong liquidity for a REIT. The Inspire Impact Score of 63 (ALIGNED) makes this one of few high-yield options suitable for faith-based investors seeking income.</w:t>
      </w:r>
    </w:p>
    <w:p>
      <w:pPr>
        <w:spacing w:after="120"/>
      </w:pPr>
      <w:r>
        <w:rPr>
          <w:rFonts w:ascii="Calibri" w:hAnsi="Calibri"/>
          <w:b w:val="0"/>
          <w:color w:val="3A4A28"/>
          <w:sz w:val="20"/>
        </w:rPr>
        <w:t>The bear case reflects severe fundamental deterioration. Q2 2026 reported a net loss of $81.2M with EPS of -$0.48, driven by a hotel-loan charge, on revenue of just $23.7M — down 73% from Q2 2025 [2]. The GAAP payout ratio of 2,350% (trailing EPS $0.08, annual dividend $1.88) is among the worst in the REIT sector. D/E of 484.70% with $15.8B in total debt creates extreme leverage sensitivity — any further CRE credit deterioration could erode the thin equity cushion [5]. The stock has declined 20% from its 52-week high to $13.27. ROE of just 0.45% indicates the company is barely generating returns above zero on its equity base. Revenue has collapsed 73% YoY, and the negative PEG ratio (-0.25) signals market skepticism about the earnings trajectory. Within the IOWN framework, BXMT scores poorly across innovation, inspiration, and infinite game dimensions because it is an externally managed financial vehicle — the framework penalizes pure capital-allocation vehicles lacking their own organizational culture, innovation capacity, and purpose-driven mission.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CRE credit cycle recovery reducing impaired loans further and restoring GAAP profitability, which would address the unsustainable 2,350% GAAP payout ratio and support dividend maintenance [1]</w:t>
      </w:r>
    </w:p>
    <w:p>
      <w:pPr>
        <w:spacing w:before="40" w:after="40"/>
        <w:ind w:left="283"/>
      </w:pPr>
      <w:r>
        <w:rPr>
          <w:rFonts w:ascii="Calibri" w:hAnsi="Calibri"/>
          <w:b/>
          <w:color w:val="4A6B25"/>
          <w:sz w:val="20"/>
        </w:rPr>
        <w:t xml:space="preserve">2. </w:t>
      </w:r>
      <w:r>
        <w:rPr>
          <w:rFonts w:ascii="Calibri" w:hAnsi="Calibri"/>
          <w:b w:val="0"/>
          <w:color w:val="3A4A28"/>
          <w:sz w:val="20"/>
        </w:rPr>
        <w:t>Federal Reserve rate cuts reducing BXMT's floating-rate funding costs and improving net interest margins, directly boosting distributable earnings and providing dividend coverage margin [2]</w:t>
      </w:r>
    </w:p>
    <w:p>
      <w:pPr>
        <w:spacing w:before="40" w:after="40"/>
        <w:ind w:left="283"/>
      </w:pPr>
      <w:r>
        <w:rPr>
          <w:rFonts w:ascii="Calibri" w:hAnsi="Calibri"/>
          <w:b/>
          <w:color w:val="4A6B25"/>
          <w:sz w:val="20"/>
        </w:rPr>
        <w:t xml:space="preserve">3. </w:t>
      </w:r>
      <w:r>
        <w:rPr>
          <w:rFonts w:ascii="Calibri" w:hAnsi="Calibri"/>
          <w:b w:val="0"/>
          <w:color w:val="3A4A28"/>
          <w:sz w:val="20"/>
        </w:rPr>
        <w:t>New loan originations at higher spreads during CRE recovery could improve portfolio yield and quality, potentially supporting a dividend increase from the current reduced $0.47 quarterly level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payout ratio of 2,350% signals the $1.88 annual dividend is supported only by distributable earnings ($0.48-0.49 quarterly) and not GAAP net income — any increase in CECL provisions or realized losses could force a second dividend cut [1][2]</w:t>
      </w:r>
    </w:p>
    <w:p>
      <w:pPr>
        <w:spacing w:before="40" w:after="40"/>
        <w:ind w:left="283"/>
      </w:pPr>
      <w:r>
        <w:rPr>
          <w:rFonts w:ascii="Calibri" w:hAnsi="Calibri"/>
          <w:b/>
          <w:color w:val="4A6B25"/>
          <w:sz w:val="20"/>
        </w:rPr>
        <w:t xml:space="preserve">2. </w:t>
      </w:r>
      <w:r>
        <w:rPr>
          <w:rFonts w:ascii="Calibri" w:hAnsi="Calibri"/>
          <w:b w:val="0"/>
          <w:color w:val="3A4A28"/>
          <w:sz w:val="20"/>
        </w:rPr>
        <w:t>D/E of 484.70% with $15.8B total debt creates extreme leverage sensitivity — further CRE valuation declines, rising rates, or credit tightening could rapidly erode the equity base supporting this debt [5]</w:t>
      </w:r>
    </w:p>
    <w:p>
      <w:pPr>
        <w:spacing w:before="40" w:after="40"/>
        <w:ind w:left="283"/>
      </w:pPr>
      <w:r>
        <w:rPr>
          <w:rFonts w:ascii="Calibri" w:hAnsi="Calibri"/>
          <w:b/>
          <w:color w:val="4A6B25"/>
          <w:sz w:val="20"/>
        </w:rPr>
        <w:t xml:space="preserve">3. </w:t>
      </w:r>
      <w:r>
        <w:rPr>
          <w:rFonts w:ascii="Calibri" w:hAnsi="Calibri"/>
          <w:b w:val="0"/>
          <w:color w:val="3A4A28"/>
          <w:sz w:val="20"/>
        </w:rPr>
        <w:t>Q2 2026 net loss of $81.2M on $23.7M revenue (-73% YoY) demonstrates ongoing earnings volatility from hotel and office loan impairments that management cannot fully control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BXMT's core business of originating and managing senior secured commercial real estate loans involves deeply physical collateral (office buildings, multifamily, hospitality, industrial properties), complex legal documentation, relationship-driven deal sourcing through Blackstone's network, and regulatory compliance that AI cannot substitute [3]. Commercial mortgage lending requires capital deployment, legal contract execution, borrower due diligence, property valuation, and workout expertise during distress — all fundamentally human and capital-intensive activities. AI may improve credit underwriting speed or risk modeling accuracy, but cannot replace the need for capital, regulatory frameworks, or physical property collateral. The Blackstone platform's relationship network creates moats beyond algorithmic reach. AI Opportunity (0/1): No AI-related revenue or AI products. BXMT is an externally managed lending vehicle without technology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Blackstone Mortgage Trust Q1 2026 Earnings — Net loss $6.3M, Distributable EPS $0.49, dividend $0.47/quarter maintained — SEC 8-K Filing, 2026</w:t>
      </w:r>
    </w:p>
    <w:p>
      <w:pPr>
        <w:spacing w:before="20" w:after="20"/>
        <w:ind w:left="170"/>
      </w:pPr>
      <w:r>
        <w:rPr>
          <w:rFonts w:ascii="Calibri" w:hAnsi="Calibri"/>
          <w:b/>
          <w:color w:val="4A6B25"/>
          <w:sz w:val="15"/>
        </w:rPr>
        <w:t xml:space="preserve">2. </w:t>
      </w:r>
      <w:r>
        <w:rPr>
          <w:rFonts w:ascii="Calibri" w:hAnsi="Calibri"/>
          <w:b w:val="0"/>
          <w:color w:val="3A4A28"/>
          <w:sz w:val="17"/>
        </w:rPr>
        <w:t>Blackstone Mortgage Trust Q2 2026 Earnings — Net loss $81.2M, EPS -$0.48, revenue $23.7M (-73% YoY), hotel-loan charge — SEC 8-K Filing, August 2026</w:t>
      </w:r>
    </w:p>
    <w:p>
      <w:pPr>
        <w:spacing w:before="20" w:after="20"/>
        <w:ind w:left="170"/>
      </w:pPr>
      <w:r>
        <w:rPr>
          <w:rFonts w:ascii="Calibri" w:hAnsi="Calibri"/>
          <w:b/>
          <w:color w:val="4A6B25"/>
          <w:sz w:val="15"/>
        </w:rPr>
        <w:t xml:space="preserve">3. </w:t>
      </w:r>
      <w:r>
        <w:rPr>
          <w:rFonts w:ascii="Calibri" w:hAnsi="Calibri"/>
          <w:b w:val="0"/>
          <w:color w:val="3A4A28"/>
          <w:sz w:val="17"/>
        </w:rPr>
        <w:t>Blackstone Mortgage Trust Leadership — CEO Timothy Johnson (appointed November 2025), Global Head of BREDS, Board Chair — blackstonemortgagetrust.com/Blackstone.com, 2025-2026</w:t>
      </w:r>
    </w:p>
    <w:p>
      <w:pPr>
        <w:spacing w:before="20" w:after="20"/>
        <w:ind w:left="170"/>
      </w:pPr>
      <w:r>
        <w:rPr>
          <w:rFonts w:ascii="Calibri" w:hAnsi="Calibri"/>
          <w:b/>
          <w:color w:val="4A6B25"/>
          <w:sz w:val="15"/>
        </w:rPr>
        <w:t xml:space="preserve">4. </w:t>
      </w:r>
      <w:r>
        <w:rPr>
          <w:rFonts w:ascii="Calibri" w:hAnsi="Calibri"/>
          <w:b w:val="0"/>
          <w:color w:val="3A4A28"/>
          <w:sz w:val="17"/>
        </w:rPr>
        <w:t>Blackstone Mortgage Trust ESG Approach — ESG integration through Blackstone parent, externally managed structure limitations — SEC 10-K and ESG disclosures,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BXMT Key Statistics: Price $13.27, Forward P/E 8.56x, D/E 484.70%, ROE 0.45%, Dividend Yield 14.17%, Avg Volume 2,198,156,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