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BXP</w:t>
      </w:r>
      <w:r>
        <w:rPr>
          <w:rFonts w:ascii="Calibri" w:hAnsi="Calibri"/>
          <w:b/>
          <w:color w:val="1A2010"/>
          <w:sz w:val="40"/>
        </w:rPr>
        <w:t xml:space="preserve">  BXP, Inc.</w:t>
      </w:r>
    </w:p>
    <w:p>
      <w:pPr>
        <w:spacing w:after="120"/>
      </w:pPr>
      <w:r>
        <w:rPr>
          <w:rFonts w:ascii="Calibri" w:hAnsi="Calibri"/>
          <w:b/>
          <w:color w:val="6E8450"/>
          <w:sz w:val="18"/>
        </w:rPr>
        <w:t>DIVIDEND SLEEVE · 2026-09-06 · Inspire: 55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Office · NYSE · United States</w:t>
      </w:r>
    </w:p>
    <w:p>
      <w:pPr>
        <w:spacing w:after="80"/>
      </w:pPr>
      <w:r>
        <w:rPr>
          <w:rFonts w:ascii="Calibri" w:hAnsi="Calibri"/>
          <w:b w:val="0"/>
          <w:color w:val="3A4A28"/>
          <w:sz w:val="20"/>
        </w:rPr>
        <w:t>BXP (formerly Boston Properties) is the largest publicly traded developer, owner, and manager of premier Class A office properties in the U.S., with approximately 54 million rentable square feet concentrated in six gateway markets: Boston, Los Angeles, New York, San Francisco, Seattle, and Washington, D.C. Q2 2026 revenue reached $889.35M (+3.8% YoY) with FFO of $1.78/share beating guidance, prompting management to raise full-year 2026 FFO guidance and occupancy outlook to 88.9%. Leasing volume of 1.76M sq ft was 29% above the 10-year quarterly average.</w:t>
      </w:r>
    </w:p>
    <w:p>
      <w:r>
        <w:rPr>
          <w:rFonts w:ascii="Calibri" w:hAnsi="Calibri"/>
          <w:b/>
          <w:color w:val="6E8450"/>
          <w:sz w:val="18"/>
        </w:rPr>
        <w:t>800 Employees · https://www.bxp.com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Q2 2026 revenue of $889.35M grew 3.8% YoY with leasing volume of 1.76M sq ft at 29% above the 10-year average, signaling recovery after FY2025's revenue decline [1]. The ongoing $1.2B strategic asset sales program demonstrates active portfolio optimization, and life science conversions represent incremental business model extension [1]. AI Deployment (1/2): BXP has formed nine cross-functional AI cohort groups leveraging tools for real-time energy monitoring, performance benchmarking, and predictive analytics across its portfolio, transforming sustainability data into strategic advantage [2]. This is genuine internal AI deployment but no external AI products ship to customers. Market Share (2/2): BXP is the largest publicly traded owner of Class A office in the U.S. with ~54M SF across six gateway markets — Q2 2026 leasing volume 29% above the 10-year average demonstrates continued dominance through the post-pandemic office cycle [1]. AI-native tenants like Anthropic, OpenAI, and Crusoe have driven 1.4M+ SF of net absorption in San Francisco alone [1]. Product Pipeline (1/2): Management targets 89% occupied (91% leased) by year-end 2026 and 91% occupied by 2027, with same-property NOI growth guided at +1.25% to +2.25% for 2026 [1]. Development pipeline includes life science conversions and premium mixed-use projects. R&amp;D Intensity (0/1): REITs do not carry traditional R&amp;D spending; capital deployed to development, acquisitions, and sustainability upgrades.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BXP's tagline 'Places Powering Progress' and mission to develop and manage distinctive properties reflect 56+ years of consistent execution in premier office development since founding in 1970 [2]. The purpose is credible, specific, and backed by decades of portfolio building across gateway cities, though it remains more operational than aspirational. Community Impact (2/2): Achieved carbon-neutral operations (Scopes 1 and 2), reduced GHG emissions intensity 70% below 2008 baseline six years ahead of schedule, 27.7M SF LEED certified (96% Gold or Platinum), and the only North American office company with SBTi-approved 1.5C-aligned emissions targets [3]. Named among Newsweek's Most Responsible Companies as highest-ranking office REIT. Employee Retention (1/2): Executive team averages 32 years of real estate experience and 21 years with BXP, demonstrating exceptional leadership continuity and a promote-from-within culture [2]. The company's 'fail forward' innovation philosophy suggests an empowering work environment. Insider Buying (0/2): Net insider selling in recent months with no meaningful insider purchases identified in the research period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Q2 2026 data. D/E of 180% scores 0.52 on the leverage metric — elevated but improved from prior quarters and typical for capital-intensive REITs [4]. ROE of 6.06% scores 0.40, well below the 15% target, depressed by high depreciation on the real estate portfolio. Revenue growth YoY of 3.8% (Q2 2026 revenue $889M vs $857M prior year) scores 0.79, and estimated 5-year revenue CAGR of ~2.5% scores 0.50 [1]. Forward P/E of 32.51 scores 0.69 and profit margin of 12.33% scores 0.62 [4]. On dividend metrics, the FFO-based payout ratio of ~40% scores 1.0, and 29 consecutive years of dividend payments scores 1.0 at 2x weight [1]. However, 0 consecutive years of dividend growth (post-COVID cut) and -2.2% 5-year dividend growth CAGR both score 0.0 (the latter at 2x weight) [4]. Weighted sum 6.52 / max 12 = 5.43, rounded to 5. Clears liquidity floor at $85.7M daily turnover (1.43M shares x $59.92).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BXP exhibits infinite-game behavior through its 56-year build-and-hold franchise founded in 1970, carbon-neutrality commitment, and exceptionally long executive tenures averaging 21 years. The company navigated the post-pandemic office downturn without fire-sale dispositions, opting for patient capital recycling and portfolio repositioning while raising occupancy guidance. However, the 'Places Powering Progress' purpose is more operational than aspirational, and the core business model has remained essentially unchanged for decades.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'Places Powering Progress' and the mission to build premier workplaces is a credible purpose backed by 56+ years of execution, but it lacks the aspirational, humanity-serving quality Sinek demands of a true Just Cause [2]. Building extraordinary office buildings is commendable but does not describe a future state so appealing that people will sacrifice to advance it. The cause is operational excellence rather than cultural elevation.</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The executive team averaging 21 years with BXP and 32 years in real estate represents exceptional organizational trust and continuity — this is a promote-from-within culture where leaders stay for decades [2]. CEO Owen Thomas has led since 2013 with Chairman title since 2022. The company's 'fail forward' innovation culture philosophy encourages risk-taking and experimentation. Leadership stability through the worst office downturn since the GFC validates the trust environment.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BXP consistently benchmarks against SL Green, Vornado, Kilroy, and other gateway office REITs on occupancy rates, rent spreads, ESG metrics, and development execution [1]. The competitive language focuses on quality improvement and 'distinctive' properties rather than market share warfare. Management's framing of competition as motivation for portfolio quality improvement reflects an infinite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BXP has adapted its portfolio through the post-pandemic office disruption — leaning into AI-tenanted San Francisco, pursuing life science conversions, executing $1.2B+ in strategic asset sales, and selectively investing in development [1]. However, the fundamental business model (own and operate Class A office) has not changed in 56 years. The adaptation is tactical and incremental rather than transformative — the company has evolved within its model rather than reinventing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Maintaining the core strategy and avoiding fire-sale dispositions through the worst office REIT downturn since the GFC required genuine conviction, collecting 99% of rents during the pandemic [3]. The carbon-neutral operations commitment and SBTi-approved 1.5C targets were adopted during profitability decline, showing willingness to invest in sustainability over short-term cost savings [3]. The dividend was cut, however, reflecting limits on how much leadership was willing to sacrifice for continuity.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BXP owns the highest-quality Class A office portfolio in the U.S. gateway cities — exactly the asset class AI companies are aggressively leasing. Q2 2026 demonstrated accelerating recovery with revenue of $889.35M (+3.8% YoY), FFO of $1.78/share beating guidance by $0.08, and leasing volume of 1.76M sq ft at 29% above the 10-year average [1]. AI tenant demand from Anthropic, OpenAI, and Crusoe driving 1.4M+ SF of San Francisco net absorption provides a genuine secular tailwind. Management raised full-year 2026 FFO guidance and occupancy outlook to 88.9%, with a path to 91% by 2027. At a 5.13% dividend yield backed by 29 consecutive years of payments and a healthy FFO-based payout ratio of ~40%, the stock offers income support with recovery optionality [4]. The Inspire Impact Score of 55 (ALIGNED) with no negative attributions makes it suitable for faith-based portfolios [3].</w:t>
      </w:r>
    </w:p>
    <w:p>
      <w:pPr>
        <w:spacing w:after="120"/>
      </w:pPr>
      <w:r>
        <w:rPr>
          <w:rFonts w:ascii="Calibri" w:hAnsi="Calibri"/>
          <w:b w:val="0"/>
          <w:color w:val="3A4A28"/>
          <w:sz w:val="20"/>
        </w:rPr>
        <w:t>The bear case centers on valuation disconnect and structural headwinds. Forward P/E of 32.51x is expensive for a business growing revenue at 3.8% YoY, and ROE of 6.06% signals modest capital returns despite the portfolio's premier positioning [4]. D/E of 180% with approximately $16B in debt creates refinancing risk if rates remain elevated — profit margin of 12.33% reflects the strain of depreciation and interest burden [4]. The dividend was cut during the COVID era (0 consecutive years of growth, -2.2% 5-year CAGR), and GAAP payout exceeds 100%, raising sustainability concerns if occupancy recovery stalls. Structural office demand remains weaker than pre-pandemic as hybrid work tools compress aggregate space needs; even with AI tenant absorption, tenants are leasing fewer square feet per employee than pre-COVID. If AI-driven office demand in San Francisco decelerates or a recession pressures demand broadly, BXP's leverage will amplify downside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tenant absorption from Anthropic, OpenAI, and Crusoe continuing to drive occupancy toward 91% by 2027, resetting FFO growth trajectory and narrowing the discount to pre-pandemic valuations [1]</w:t>
      </w:r>
    </w:p>
    <w:p>
      <w:pPr>
        <w:spacing w:before="40" w:after="40"/>
        <w:ind w:left="283"/>
      </w:pPr>
      <w:r>
        <w:rPr>
          <w:rFonts w:ascii="Calibri" w:hAnsi="Calibri"/>
          <w:b/>
          <w:color w:val="4A6B25"/>
          <w:sz w:val="20"/>
        </w:rPr>
        <w:t xml:space="preserve">2. </w:t>
      </w:r>
      <w:r>
        <w:rPr>
          <w:rFonts w:ascii="Calibri" w:hAnsi="Calibri"/>
          <w:b w:val="0"/>
          <w:color w:val="3A4A28"/>
          <w:sz w:val="20"/>
        </w:rPr>
        <w:t>Fed rate cuts reducing refinancing costs on the ~$16B debt load and compressing cap rates, supporting NAV recovery and enabling faster deleveraging through the strategic asset sales program [4]</w:t>
      </w:r>
    </w:p>
    <w:p>
      <w:pPr>
        <w:spacing w:before="40" w:after="40"/>
        <w:ind w:left="283"/>
      </w:pPr>
      <w:r>
        <w:rPr>
          <w:rFonts w:ascii="Calibri" w:hAnsi="Calibri"/>
          <w:b/>
          <w:color w:val="4A6B25"/>
          <w:sz w:val="20"/>
        </w:rPr>
        <w:t xml:space="preserve">3. </w:t>
      </w:r>
      <w:r>
        <w:rPr>
          <w:rFonts w:ascii="Calibri" w:hAnsi="Calibri"/>
          <w:b w:val="0"/>
          <w:color w:val="3A4A28"/>
          <w:sz w:val="20"/>
        </w:rPr>
        <w:t>Q2 2026 leasing volume 29% above the 10-year average with management raising full-year guidance, signaling that the cyclical trough in office fundamentals has passed and occupancy momentum is accelerating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180% with ~$16B debt creates refinancing risk if rates stay higher for longer — interest expense is a structural drag that amplifies any revenue weakness, and profit margin of 12.33% leaves limited cushion [4]</w:t>
      </w:r>
    </w:p>
    <w:p>
      <w:pPr>
        <w:spacing w:before="40" w:after="40"/>
        <w:ind w:left="283"/>
      </w:pPr>
      <w:r>
        <w:rPr>
          <w:rFonts w:ascii="Calibri" w:hAnsi="Calibri"/>
          <w:b/>
          <w:color w:val="4A6B25"/>
          <w:sz w:val="20"/>
        </w:rPr>
        <w:t xml:space="preserve">2. </w:t>
      </w:r>
      <w:r>
        <w:rPr>
          <w:rFonts w:ascii="Calibri" w:hAnsi="Calibri"/>
          <w:b w:val="0"/>
          <w:color w:val="3A4A28"/>
          <w:sz w:val="20"/>
        </w:rPr>
        <w:t>Structural office demand headwind from hybrid work normalization continues to compress aggregate space needs, with tenants leasing fewer square feet per employee even as headline leasing metrics recover [1]</w:t>
      </w:r>
    </w:p>
    <w:p>
      <w:pPr>
        <w:spacing w:before="40" w:after="40"/>
        <w:ind w:left="283"/>
      </w:pPr>
      <w:r>
        <w:rPr>
          <w:rFonts w:ascii="Calibri" w:hAnsi="Calibri"/>
          <w:b/>
          <w:color w:val="4A6B25"/>
          <w:sz w:val="20"/>
        </w:rPr>
        <w:t xml:space="preserve">3. </w:t>
      </w:r>
      <w:r>
        <w:rPr>
          <w:rFonts w:ascii="Calibri" w:hAnsi="Calibri"/>
          <w:b w:val="0"/>
          <w:color w:val="3A4A28"/>
          <w:sz w:val="20"/>
        </w:rPr>
        <w:t>Forward P/E of 32.51x for a business growing revenue at 3.8% YoY leaves minimal margin of safety — GAAP ROE of 6.06% and negative dividend growth (-2.2% 5-year CAGR) signal a capital return profile that does not support premium valuation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Office REITs face a bifurcated AI story — AI-powered remote work tools reduce aggregate office demand, but AI companies require substantial premium Class A space in gateway cities, which is exactly BXP's portfolio [1]. The physical real estate business is structurally immune to direct AI substitution — you cannot virtually replicate office buildings, property management, or in-person collaboration environments. The indirect risk is that AI increases knowledge worker productivity enough to reduce total headcount and space needs. Analysts view AI tenant demand as a partial offset, not flagging AI as a primary risk for BXP specifically [1]. AI Opportunity (1/1): BXP is directly generating revenue from AI tenant demand — Anthropic, OpenAI, and Crusoe contributed 1.4M+ SF of net absorption in San Francisco, and the trend of AI companies requiring large physical footprints is a measurable revenue driver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BXP Q2 2026 Earnings Release — Revenue $889.35M (+3.8% YoY), FFO $1.78/share (beat by $0.08), Leasing 1.76M SF (29% above 10-year avg), Occupancy guidance raised to 88.9%, Full-year FFO guidance raised, July 2026</w:t>
      </w:r>
    </w:p>
    <w:p>
      <w:pPr>
        <w:spacing w:before="20" w:after="20"/>
        <w:ind w:left="170"/>
      </w:pPr>
      <w:r>
        <w:rPr>
          <w:rFonts w:ascii="Calibri" w:hAnsi="Calibri"/>
          <w:b/>
          <w:color w:val="4A6B25"/>
          <w:sz w:val="15"/>
        </w:rPr>
        <w:t xml:space="preserve">2. </w:t>
      </w:r>
      <w:r>
        <w:rPr>
          <w:rFonts w:ascii="Calibri" w:hAnsi="Calibri"/>
          <w:b w:val="0"/>
          <w:color w:val="3A4A28"/>
          <w:sz w:val="17"/>
        </w:rPr>
        <w:t>BXP Corporate Culture and Innovation — 9 AI cohort groups, 'fail forward' culture, Leadership tenure 21 years avg, CEO Owen Thomas, 'Places Powering Progress' mission — bxp.com, VTS Blog, Measurabl Partnership, 2025-2026</w:t>
      </w:r>
    </w:p>
    <w:p>
      <w:pPr>
        <w:spacing w:before="20" w:after="20"/>
        <w:ind w:left="170"/>
      </w:pPr>
      <w:r>
        <w:rPr>
          <w:rFonts w:ascii="Calibri" w:hAnsi="Calibri"/>
          <w:b/>
          <w:color w:val="4A6B25"/>
          <w:sz w:val="15"/>
        </w:rPr>
        <w:t xml:space="preserve">3. </w:t>
      </w:r>
      <w:r>
        <w:rPr>
          <w:rFonts w:ascii="Calibri" w:hAnsi="Calibri"/>
          <w:b w:val="0"/>
          <w:color w:val="3A4A28"/>
          <w:sz w:val="17"/>
        </w:rPr>
        <w:t>BXP ESG and Sustainability — GHG emissions reduced 70% below 2008 baseline, Carbon-neutral Scopes 1&amp;2, 27.7M SF LEED certified (96% Gold/Platinum), SBTi 1.5C targets, Net-zero 2050, 99% COVID rent collection — BXP ESG Reports, Newsweek Most Responsible Companies, 2019-2026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GuruFocus — BXP Key Statistics: Price $59.92, P/E 30.17, Forward P/E 32.51, D/E 180%, ROE 6.06%, Profit Margin 12.33%, Dividend Yield 5.13%, Avg Volume 1.43M,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