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BX</w:t>
      </w:r>
      <w:r>
        <w:rPr>
          <w:rFonts w:ascii="Calibri" w:hAnsi="Calibri"/>
          <w:b/>
          <w:color w:val="1A2010"/>
          <w:sz w:val="40"/>
        </w:rPr>
        <w:t xml:space="preserve">  Blackstone Inc.</w:t>
      </w:r>
    </w:p>
    <w:p>
      <w:pPr>
        <w:spacing w:after="120"/>
      </w:pPr>
      <w:r>
        <w:rPr>
          <w:rFonts w:ascii="Calibri" w:hAnsi="Calibri"/>
          <w:b/>
          <w:color w:val="6E8450"/>
          <w:sz w:val="18"/>
        </w:rPr>
        <w:t>DIVIDEND SLEEVE · 2026-10-14 · Inspire: -67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 NYQ · United States</w:t>
      </w:r>
    </w:p>
    <w:p>
      <w:pPr>
        <w:spacing w:after="80"/>
      </w:pPr>
      <w:r>
        <w:rPr>
          <w:rFonts w:ascii="Calibri" w:hAnsi="Calibri"/>
          <w:b w:val="0"/>
          <w:color w:val="3A4A28"/>
          <w:sz w:val="20"/>
        </w:rPr>
        <w:t>Blackstone is the world's largest alternative asset management firm with approximately $1.27T in total AUM across private equity, real estate, credit &amp; insurance, and hedge fund solutions. Co-founded by Stephen Schwarzman in 1985, Blackstone has grown from a boutique advisory firm into a global financial powerhouse. H1 2026 revenue reached $8.7B (+24% YoY), with Q2 distributable earnings of $2.0B ($1.52/sh, +26% YoY) and fee-related earnings of $1.8B (+22%). The firm is one of the largest private investors in AI infrastructure, with $50B+ in data center portfolio exposure [1].</w:t>
      </w:r>
    </w:p>
    <w:p>
      <w:r>
        <w:rPr>
          <w:rFonts w:ascii="Calibri" w:hAnsi="Calibri"/>
          <w:b/>
          <w:color w:val="6E8450"/>
          <w:sz w:val="18"/>
        </w:rPr>
        <w:t>5,285 Employees · https://www.blackstone.com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Blackstone expanded significantly over the past five years — launching perpetual capital vehicles BREIT and BCRED that opened alternative investments to retail, building a $50B+ data center portfolio making it the world's largest private data center owner, and scaling Blackstone Insurance Solutions to manage over $200B in assets [1][2]. These represent meaningful new revenue streams that redefined the firm beyond pure opportunistic PE. AI Deployment (1/2): The firm deploys AI through its 'picks and shovels' infrastructure strategy, investing in data centers and AI-focused companies; COO Jon Gray told Semafor in August 2026 that AI bets have 'paid off so far,' and Schwarzman reportedly insists portfolio company CEOs embrace AI [2]. However, BX does not ship AI products directly to clients. Market Share (2/2): Category-defining leader as the world's largest alternative asset manager with $1.27T AUM, substantially ahead of Apollo, KKR, and Carlyle; Q2 2026 revenue of approximately $5.0B beat estimates with distributable earnings growing 26% YoY [1]. Product Pipeline (1/2): Expanding data center pipeline, growing insurance channel, and Asian market expansion underway, but specific next-generation fund launches lack firm timelines and revenue visibility. R&amp;D Intensity (0/1): Financial services firms do not report traditional R&amp;D expenditure; technology investment is embedded in operating costs.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Blackstone's stated purpose centers on delivering superior returns while creating positive economic impact — clear and honest but ultimately financial, interchangeable with most asset managers and lacking a distinctive vision of a better future beyond wealth creation [3]. Community Impact (2/2): Schwarzman has personally donated over $1B, including $350M to MIT for the Schwarzman College of Computing, $250M to Yale, $150M to Oxford's Schwarzman Centre for the Humanities, and the Schwarzman Scholars program at Tsinghua University — substantial, distinctive investments in education and human capital [3]. Employee Retention (1/2): Schwarzman's 40+ year tenure and the firm's culture of meritocracy, open debate, and entrepreneurial empowerment — where employees at any level are invited to challenge firm decisions — signal organizational stability, though no specific turnover data is published [3]. Insider Buying (0/2): No evidence of meaningful net open-market buying by Schwarzman, Gray, or other senior executives in the last 12 months; compensation is dominated by carried interest distributions.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on all 10 metrics. Core metrics are uniformly strong: D/E of 68.2% meets the 70% target (score 1.0), ROE of 31.4% far exceeds the 15% target (score 1.0), revenue growth YoY of 28.6% and estimated 5-year CAGR of 15% both max out (score 1.0 each), Forward P/E of 14.8 is well below the 20 target (score 1.0), and profit margin of 22.7% exceeds the 20% target (score 1.0) [1]. Dividend-specific metrics are mixed: payout ratio of 111.2% exceeds the 100% floor (score 0.0), reflecting BX's variable distribution model tied to distributable rather than GAAP earnings; 20 consecutive years paid since 2007 (score 1.0, 2x weight); only 2 consecutive years of growth after 2023's decline from $4.94 to $3.32 (score 0.2); 5-year dividend growth CAGR of approximately 7.9% (score 1.0, 2x weight). Weighted sum 10.2/12. Daily dollar volume of $490M provides maximum liquidity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Blackstone operates with a fundamentally finite purpose — generating superior investment returns for stakeholders. While Schwarzman's 40-year leadership, early AI conviction, and platform diversification demonstrate strategic patience, the firm's Just Cause does not transcend wealth creation. Competitive language consistently emphasizes scale dominance ('world's largest') and financial metrics rather than self-improvement, and the variable distribution model tied to quarterly realizations embeds finite-game incentives in the business model.</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Blackstone's purpose is fundamentally financial — generating superior long-term returns for investors and stakeholders [3]. While genuine, this does not describe a future state so appealing that people would sacrifice to advance it. Schwarzman's personal philanthropic vision (education, computing, leadership development) is more compelling as a Just Cause than the firm's corporate mission, but it exists alongside rather than driving strategic decisions. The firm's culture of excellence and meritocracy is a competitive advantage, but not a Just Cause in Sinek's framework.</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Schwarzman describes an entrepreneurial culture where employees at any level can challenge investment decisions, and Gray's 2026 comments emphasize rigorous skeptical questioning in investment committee meetings [3]. Leadership continuity is strong — Schwarzman (40+ years) and Gray (20+ years as #2) — with a well-planned succession process. However, the performance-driven compensation model tied to individual and fund returns creates tension with Sinek's model of unconditional organizational trust, and no specific voluntary turnover data distinguishes the culture.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Blackstone's competitive language centers on dominance — 'world's largest alternative asset manager,' first to $1T AUM, market share leadership across categories. Gray's August 2026 Semafor interview emphasized how Blackstone 'goes big' rather than what it learns from competitors [2]. Management consistently frames competition in terms of scale advantages over KKR, Apollo, and Carlyle rather than using competitive pressure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Blackstone has meaningfully evolved from a leveraged buyout shop into a diversified alternatives platform — adding credit ($311B), insurance solutions ($200B+), perpetual capital vehicles, and data center infrastructure as major business lines [1]. The pivot from opportunistic PE to perpetual capital was strategically significant. However, each expansion was incremental and additive rather than a transformative pivot that abandoned a core business — the original PE franchise remains intact and central to the firm's identity.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Schwarzman pioneered the PE firm IPO in 2007 when peers resisted public scrutiny, and Gray's aggressive data center investment thesis committed billions before the AI boom was widely recognized, representing prescient but financially motivated contrarian bets [2]. The firm invested through the 2020 COVID dislocation rather than retrenching. However, these decisions were driven by risk-reward analysis rather than sacrificing near-term results for a higher cause — Blackstone entered data centers because the returns were attractive, not in service of a purpose beyond profits.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Blackstone at $109.98 (14.8x forward earnings) offers exposure to the world's dominant alternative asset platform at a significant discount to its August 2026 levels — H1 2026 revenue grew 24% YoY to $8.7B, Q2 distributable earnings rose 26% to $2.0B ($1.52/share), and fee-related earnings grew 22% to $1.8B [1]. The 4.76% dividend yield provides meaningful income, and the Forward P/E of 14.8x represents a rare sub-15x entry point for a platform generating $2B+ in quarterly distributable earnings. The firm's early positioning in AI infrastructure ($50B+ data center portfolio) provides a differentiated growth vector, while perpetual capital vehicles (BREIT, BCRED, insurance) reduce earnings cyclicality with stable management fees that grow with AUM [1][2]. Management expects a return to double-digit base fee growth by 2027.</w:t>
      </w:r>
    </w:p>
    <w:p>
      <w:pPr>
        <w:spacing w:after="120"/>
      </w:pPr>
      <w:r>
        <w:rPr>
          <w:rFonts w:ascii="Calibri" w:hAnsi="Calibri"/>
          <w:b w:val="0"/>
          <w:color w:val="3A4A28"/>
          <w:sz w:val="20"/>
        </w:rPr>
        <w:t>The bear case centers on distribution sustainability and cyclical exposure. The 111% payout ratio reflects BX's variable distribution model tied to realizations rather than stable cash flows — dividends fell 33% in 2023 ($3.32 vs $4.94 in 2022) and have achieved only 2 consecutive years of growth since, demonstrating the income stream's unreliability for dividend-focused investors [1]. The stock trades 15% below its 50-day SMA of $129.89, reflecting market concern about near-term realization activity and growth sustainability at $1.27T AUM. A Semafor report noted Blackstone limited withdrawals from a flagship credit fund earlier in 2026 over exposure to indebted tech companies, raising credit quality questions [2]. Fossil fuel investment disclosure gaps and Schwarzman's $27M+ political donations create ESG credibility concerns with sustainability-mandated LPs who have conditioned capital commitments on ESG standards [4]. At $82.6B market cap, BX requires sustained AUM growth and realization velocity to justify the premium over tangible book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infrastructure portfolio ($50B+ in data centers) positioned as a primary private-market beneficiary of enterprise AI compute demand, with Gray projecting continued data center investment as the 'picks and shovels' of AI and bets that have 'paid off so far' per August 2026 Semafor interview [2]</w:t>
      </w:r>
    </w:p>
    <w:p>
      <w:pPr>
        <w:spacing w:before="40" w:after="40"/>
        <w:ind w:left="283"/>
      </w:pPr>
      <w:r>
        <w:rPr>
          <w:rFonts w:ascii="Calibri" w:hAnsi="Calibri"/>
          <w:b/>
          <w:color w:val="4A6B25"/>
          <w:sz w:val="20"/>
        </w:rPr>
        <w:t xml:space="preserve">2. </w:t>
      </w:r>
      <w:r>
        <w:rPr>
          <w:rFonts w:ascii="Calibri" w:hAnsi="Calibri"/>
          <w:b w:val="0"/>
          <w:color w:val="3A4A28"/>
          <w:sz w:val="20"/>
        </w:rPr>
        <w:t>Perpetual capital vehicles and insurance channel ($200B+) reducing earnings cyclicality — stable management fees grow with AUM regardless of realization timing, smoothing the traditional PE distribution cycle that caused the 2023 dividend decline [1]</w:t>
      </w:r>
    </w:p>
    <w:p>
      <w:pPr>
        <w:spacing w:before="40" w:after="40"/>
        <w:ind w:left="283"/>
      </w:pPr>
      <w:r>
        <w:rPr>
          <w:rFonts w:ascii="Calibri" w:hAnsi="Calibri"/>
          <w:b/>
          <w:color w:val="4A6B25"/>
          <w:sz w:val="20"/>
        </w:rPr>
        <w:t xml:space="preserve">3. </w:t>
      </w:r>
      <w:r>
        <w:rPr>
          <w:rFonts w:ascii="Calibri" w:hAnsi="Calibri"/>
          <w:b w:val="0"/>
          <w:color w:val="3A4A28"/>
          <w:sz w:val="20"/>
        </w:rPr>
        <w:t>Forward P/E compression to 14.8x from 22.4x creates an attractive entry point — any improvement in realization activity or fundraising acceleration toward the guided double-digit base fee growth by 2027 could drive significant multiple expansion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Variable dividend income with 111% payout ratio and only 2 consecutive years of growth — distributions fell 33% in 2023 and are structurally tied to volatile realization activity, making BX unsuitable as a reliable income holding for dividend-focused investors [1]</w:t>
      </w:r>
    </w:p>
    <w:p>
      <w:pPr>
        <w:spacing w:before="40" w:after="40"/>
        <w:ind w:left="283"/>
      </w:pPr>
      <w:r>
        <w:rPr>
          <w:rFonts w:ascii="Calibri" w:hAnsi="Calibri"/>
          <w:b/>
          <w:color w:val="4A6B25"/>
          <w:sz w:val="20"/>
        </w:rPr>
        <w:t xml:space="preserve">2. </w:t>
      </w:r>
      <w:r>
        <w:rPr>
          <w:rFonts w:ascii="Calibri" w:hAnsi="Calibri"/>
          <w:b w:val="0"/>
          <w:color w:val="3A4A28"/>
          <w:sz w:val="20"/>
        </w:rPr>
        <w:t>Credit fund withdrawal restrictions and leveraged tech exposure — Blackstone limited redemptions from a flagship credit fund in 2026 over indebted tech company exposure, raising liquidity and credit quality concerns during elevated interest rates [2]</w:t>
      </w:r>
    </w:p>
    <w:p>
      <w:pPr>
        <w:spacing w:before="40" w:after="40"/>
        <w:ind w:left="283"/>
      </w:pPr>
      <w:r>
        <w:rPr>
          <w:rFonts w:ascii="Calibri" w:hAnsi="Calibri"/>
          <w:b/>
          <w:color w:val="4A6B25"/>
          <w:sz w:val="20"/>
        </w:rPr>
        <w:t xml:space="preserve">3. </w:t>
      </w:r>
      <w:r>
        <w:rPr>
          <w:rFonts w:ascii="Calibri" w:hAnsi="Calibri"/>
          <w:b w:val="0"/>
          <w:color w:val="3A4A28"/>
          <w:sz w:val="20"/>
        </w:rPr>
        <w:t>ESG and reputational headwinds — incomplete fossil fuel disclosure, Schwarzman's political donations conflicting with ESG commitments, and anti-ESG backlash creating operational risk with sustainability-mandated LPs who have conditioned capital commitments on ESG standards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Blackstone's core business — raising capital from institutional LPs, deploying it into physical assets (real estate, infrastructure, data centers), and managing complex illiquid investments — is fundamentally relationship-driven and requires human judgment that AI cannot replicate [2][3]. The $1.27T AUM platform is protected by deep LP relationships, proprietary deal flow, and physical asset management in opaque, illiquid markets where data is scarce and proprietary access matters more than algorithmic optimization. Gray acknowledged AI disruption is 'top of the page' for portfolio company exposure — citing rules-based businesses like auto insurance as at risk while real assets like apartments remain safe — but the core asset management model is structurally protected [2]. AI Opportunity (1/1): Blackstone is among the largest private investors in AI infrastructure, with $50B+ in data center assets benefiting directly from AI compute demand; the firm's early conviction on data centers (initiated 8 years ago by Schwarzman) has generated above-benchmark returns from the AI buildout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Blackstone H1/Q2 2026 Earnings and 10-Q — H1 Revenue $8.7B (+24% YoY), Q2 Distributable Earnings $2.0B ($1.52/sh, +26%), Fee-Related Earnings $1.8B (+22%), AUM ~$1.27T — SEC EDGAR, Barchart, TipRanks, July 2026</w:t>
      </w:r>
    </w:p>
    <w:p>
      <w:pPr>
        <w:spacing w:before="20" w:after="20"/>
        <w:ind w:left="170"/>
      </w:pPr>
      <w:r>
        <w:rPr>
          <w:rFonts w:ascii="Calibri" w:hAnsi="Calibri"/>
          <w:b/>
          <w:color w:val="4A6B25"/>
          <w:sz w:val="15"/>
        </w:rPr>
        <w:t xml:space="preserve">2. </w:t>
      </w:r>
      <w:r>
        <w:rPr>
          <w:rFonts w:ascii="Calibri" w:hAnsi="Calibri"/>
          <w:b w:val="0"/>
          <w:color w:val="3A4A28"/>
          <w:sz w:val="17"/>
        </w:rPr>
        <w:t>Jon Gray AI Strategy and Market Commentary — AI disruption 'top of the page,' data center picks-and-shovels thesis, AI bets 'paid off so far,' credit fund withdrawal limitations — Reuters, Semafor, Yahoo Finance, February-August 2026</w:t>
      </w:r>
    </w:p>
    <w:p>
      <w:pPr>
        <w:spacing w:before="20" w:after="20"/>
        <w:ind w:left="170"/>
      </w:pPr>
      <w:r>
        <w:rPr>
          <w:rFonts w:ascii="Calibri" w:hAnsi="Calibri"/>
          <w:b/>
          <w:color w:val="4A6B25"/>
          <w:sz w:val="15"/>
        </w:rPr>
        <w:t xml:space="preserve">3. </w:t>
      </w:r>
      <w:r>
        <w:rPr>
          <w:rFonts w:ascii="Calibri" w:hAnsi="Calibri"/>
          <w:b w:val="0"/>
          <w:color w:val="3A4A28"/>
          <w:sz w:val="17"/>
        </w:rPr>
        <w:t>Blackstone Leadership and Culture — Schwarzman on meritocracy, open debate, entrepreneurial empowerment; 40-year firm history; $1B+ personal philanthropy — LEADERS Magazine, SCMP, McKinsey, 2020-2026</w:t>
      </w:r>
    </w:p>
    <w:p>
      <w:pPr>
        <w:spacing w:before="20" w:after="20"/>
        <w:ind w:left="170"/>
      </w:pPr>
      <w:r>
        <w:rPr>
          <w:rFonts w:ascii="Calibri" w:hAnsi="Calibri"/>
          <w:b/>
          <w:color w:val="4A6B25"/>
          <w:sz w:val="15"/>
        </w:rPr>
        <w:t xml:space="preserve">4. </w:t>
      </w:r>
      <w:r>
        <w:rPr>
          <w:rFonts w:ascii="Calibri" w:hAnsi="Calibri"/>
          <w:b w:val="0"/>
          <w:color w:val="3A4A28"/>
          <w:sz w:val="17"/>
        </w:rPr>
        <w:t>Blackstone ESG Controversy — Incomplete fossil fuel disclosure, Schwarzman political donations vs ESG stance, Sustainalytics moderate controversy rating (2/5) — PES Stakeholder, Korea Times, SEC Filings, 2020-2023</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