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CARR</w:t>
      </w:r>
      <w:r>
        <w:rPr>
          <w:rFonts w:ascii="Calibri" w:hAnsi="Calibri"/>
          <w:b/>
          <w:color w:val="1A2010"/>
          <w:sz w:val="40"/>
        </w:rPr>
        <w:t xml:space="preserve">  Carrier Global Corporation</w:t>
      </w:r>
    </w:p>
    <w:p>
      <w:pPr>
        <w:spacing w:after="120"/>
      </w:pPr>
      <w:r>
        <w:rPr>
          <w:rFonts w:ascii="Calibri" w:hAnsi="Calibri"/>
          <w:b/>
          <w:color w:val="6E8450"/>
          <w:sz w:val="18"/>
        </w:rPr>
        <w:t>GROWTH SLEEVE · 2026-10-14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NYQ · United States</w:t>
      </w:r>
    </w:p>
    <w:p>
      <w:pPr>
        <w:spacing w:after="80"/>
      </w:pPr>
      <w:r>
        <w:rPr>
          <w:rFonts w:ascii="Calibri" w:hAnsi="Calibri"/>
          <w:b w:val="0"/>
          <w:color w:val="3A4A28"/>
          <w:sz w:val="20"/>
        </w:rPr>
        <w:t>Carrier Global is the world's leading provider of intelligent climate and energy solutions, spanning HVAC, heat pumps, refrigeration, and building automation. Spun off from United Technologies in April 2020, Carrier transformed its portfolio through the $13B Viessmann Climate Solutions acquisition (2024) and divestiture of Fire &amp; Security to become a pure-play climate solutions company. CEO David Gitlin describes it as a '100-year-old startup,' honoring Willis Carrier's 1902 invention of modern air conditioning. Q2 2026 sales reached $6.4B with organic sales up 3%, orders surged 40% YoY with data center orders quadrupling, and backlog surpassed $8B. FY2026 guidance raised to approximately $23B in sales and $2.90 adjusted EPS [1].</w:t>
      </w:r>
    </w:p>
    <w:p>
      <w:r>
        <w:rPr>
          <w:rFonts w:ascii="Calibri" w:hAnsi="Calibri"/>
          <w:b/>
          <w:color w:val="6E8450"/>
          <w:sz w:val="18"/>
        </w:rPr>
        <w:t>47,000 Employees · https://www.carrier.com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Carrier executed a company-defining transformation over five years — spinning off from UTC (2020), acquiring Viessmann Climate Solutions for $13B (2024) to become the global leader in heat pumps and European HVAC, and divesting Fire &amp; Security to sharpen focus on climate solutions [2]. These moves repositioned Carrier from a conglomerate division to a pure-play climate and energy solutions leader. AI Deployment (1/2): Carrier deploys smart building technologies, IoT-connected HVAC systems, and digital controls through its Abound platform, integrating building intelligence and predictive maintenance; the board met with management multiple times in 2025 to evaluate AI opportunities per the 2026 proxy statement [2]. Data center cooling solutions directly enable AI infrastructure. Market Share (2/2): Global #1 in HVAC with leading positions in commercial HVAC and residential heat pumps (Viessmann acquisition created European leadership), plus rapidly establishing dominance in data center cooling — a category where orders quadrupled in Q2 2026 [1][2]. Product Pipeline (2/2): Data center cooling revenue forecast raised to approximately $2B for FY2026, backlog exceeded $8B with 40% order growth, and European heat pump momentum from Viessmann plus next-generation low-GWP refrigerant-compliant products provide multi-year visibility [1]. R&amp;D Intensity (1/1): Significant investment in heat pump technology, low-GWP refrigerants, smart building automation, and high-density data center cooling positions Carrier above building products industry peers in R&amp;D commitment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Carrier's purpose — 'creating solutions that matter for people and our planet' — is specific, thoughtful, and connected to the company's 120-year heritage since Willis Carrier invented modern air conditioning in 1902 [2]. The 1-gigaton carbon reduction goal by 2030 gives the mission measurable ambition. CEO Gitlin's '100-year-old startup' framing and the Viessmann acquisition explicitly tied to advancing the climate mission demonstrate genuine intentionality that differentiates from peers. Community Impact (1/2): Carbon neutrality target by 2030, Sustainalytics low-risk ESG rating of 16.2, and recognition including EcoVadis Silver Medal represent meaningful environmental commitment [3]. However, specific community investment programs beyond environmental goals are not prominently detailed. Employee Retention (0/2): No specific retention data, turnover rates, or tenure information was identified. Gitlin's Toyota-inspired culture transformation with goal alignment and cascading KPIs suggests operational discipline, but quantitative evidence is lacking [2]. Insider Buying (0/2): No evidence of meaningful net open-market insider buying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7 metrics. Forward P/E of 16.6 is attractively below the 20 target (score 1.0), and PEG of 1.07 is near the 1.0 target (score 0.97, 2x weight) [1]. D/E of 92.0% reflects acquisition debt but scores 0.90. Revenue growth YoY of 3.9% scores 0.80, below the 10% target due to the Riello divestiture headwind against the Viessmann contribution [1]. The 5-year revenue CAGR of approximately 4.5% scores 0.63 (2x weight), reflecting portfolio churn (divestitures offset acquisitions in aggregate). ROE of 8.97% scores 0.60 (2x weight), depressed by the enlarged equity base from Viessmann. The primary drag is GAAP profit margin of only 5.5% (score 0.28), reflecting Viessmann integration costs and restructuring charges that compress reported earnings below the 17%+ adjusted operating margin [1]. Daily dollar volume of $352M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Carrier demonstrates strong infinite game characteristics in its strategic transformation and heritage-driven purpose. The bold Viessmann acquisition and portfolio reshaping show courage and existential flexibility, and the Willis Carrier heritage provides a 120-year foundation for a Just Cause around climate innovation. CEO Gitlin's Toyota-inspired culture and the 1-gigaton carbon reduction goal connect operational execution to purpose. However, the firm's short independent history (spun off in 2020) limits evidence of enduring infinite game commitment through multiple cycles, and margin compression from aggressive M&amp;A reflects finite-game pressure to deliver near-term results.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Carrier's purpose — creating climate and energy solutions that matter for people and the planet — is genuine, partially lived, and connected to a 120-year heritage dating back to Willis Carrier's invention of modern air conditioning [2]. The 1-gigaton carbon reduction goal gives the cause measurable ambition. The Viessmann acquisition and Fire &amp; Security divestiture were explicitly framed as advancing the climate mission. However, the cause has not yet been tested through a multi-decade crisis as an independent company (spun off only in 2020), limiting validation of its durability.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Gitlin has provided stable leadership since the 2020 spin-off, implementing a Toyota-inspired culture with cascading goals and clear KPIs that signal operational discipline and organizational clarity [2]. The leadership team has remained stable through the transformation. However, no specific data on employee retention, engagement scores, or trust metrics was identified, and the integration of Viessmann employees into Carrier's culture represents an ongoing organizational challenge across 47,000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Carrier leadership referencing competitors like Daikin, Trane Technologies, or Johnson Controls as worthy rivals whose strengths reveal Carrier's weaknesses. Competitive language in earnings calls focuses on order growth, market share gains, and data center momentum rather than learning from competitors' advantages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Carrier has executed one of the most dramatic corporate transformations in recent industrial history — within six years, separating from UTC (2020), acquiring Viessmann for $13B (2024), and divesting legacy Fire &amp; Security businesses to become a pure-play climate solutions company [2]. Each move required abandoning profitable, established business lines to pursue a focused climate mission. The willingness to fundamentally redefine the company's identity and take on significant debt for the Viessmann acquisition reflects existential flexibility in service of a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$13B Viessmann acquisition was one of the largest industrial deals of 2023-2024, requiring Carrier to take on significant leverage and integration risk to transform its European heat pump position [2]. Divesting the profitable Fire &amp; Security businesses — established revenue streams with loyal customers — required courage to prioritize long-term climate focus over near-term earnings diversification. Raising FY2026 guidance amid margin pressure from integration costs demonstrates confidence in the long-term thesis. Each decision sacrificed near-term financial comfort for strategic positioning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Carrier at $55.03 (16.6x forward earnings, PEG 1.07) offers a compelling entry into the global leader in climate solutions at a strategic inflection point — the pure-play transformation is complete, data center cooling is exploding (orders 4x YoY, revenue forecast raised to approximately $2B), and FY2026 guidance was raised to approximately $23B in sales and $2.90 adjusted EPS [1]. The $8B+ backlog with 40% order growth provides strong revenue visibility, and the Viessmann integration unlocks European heat pump leadership as regulatory mandates accelerate the energy transition [2]. Forward P/E of 16.6x and PEG of 1.07 are attractive relative to the company's positioning at the intersection of two secular tailwinds — data center cooling and decarbonization. As Viessmann synergies materialize and integration costs normalize, GAAP margins should converge toward the 17%+ adjusted operating margin, potentially driving 30-40% EPS expansion over the next two years [1].</w:t>
      </w:r>
    </w:p>
    <w:p>
      <w:pPr>
        <w:spacing w:after="120"/>
      </w:pPr>
      <w:r>
        <w:rPr>
          <w:rFonts w:ascii="Calibri" w:hAnsi="Calibri"/>
          <w:b w:val="0"/>
          <w:color w:val="3A4A28"/>
          <w:sz w:val="20"/>
        </w:rPr>
        <w:t>The bear case focuses on integration execution, margin compression, and organic growth concerns. GAAP profit margin of only 5.5% reflects the real cost of integrating a $13B acquisition — Viessmann synergies are promised but margin recovery is not guaranteed [1]. Revenue growth YoY of only 3.9% and 5-year CAGR of approximately 4.5% demonstrate that organic growth has been modest, with the Riello divestiture partially offsetting Viessmann's contribution. D/E of 92% reflects acquisition-driven leverage that constrains financial flexibility if end markets soften. ROE of only 8.97% — well below the 15% target — reflects the diluted return profile of a company mid-transformation. EPS declined 11.8% YoY in the most recent quarter due to integration charges. Residential HVAC demand is cyclical and sensitive to interest rates, and the European heat pump market faces policy uncertainty if government subsidies are reduced [1][3]. The Inspire Impact Score of -49 (MISALIGNED) limits allocation for faith-based investors despite strong sustainability credentials.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cooling revenue forecast raised to approximately $2B for FY2026 with orders quadrupling YoY, positioning Carrier as a primary pick-and-shovel beneficiary of the AI infrastructure buildout with backlog exceeding $8B and multi-year demand visibility [1]</w:t>
      </w:r>
    </w:p>
    <w:p>
      <w:pPr>
        <w:spacing w:before="40" w:after="40"/>
        <w:ind w:left="283"/>
      </w:pPr>
      <w:r>
        <w:rPr>
          <w:rFonts w:ascii="Calibri" w:hAnsi="Calibri"/>
          <w:b/>
          <w:color w:val="4A6B25"/>
          <w:sz w:val="20"/>
        </w:rPr>
        <w:t xml:space="preserve">2. </w:t>
      </w:r>
      <w:r>
        <w:rPr>
          <w:rFonts w:ascii="Calibri" w:hAnsi="Calibri"/>
          <w:b w:val="0"/>
          <w:color w:val="3A4A28"/>
          <w:sz w:val="20"/>
        </w:rPr>
        <w:t>Viessmann integration synergy realization should drive margin expansion from the current 5.5% GAAP profit margin (17%+ adjusted) toward normalized profitability, potentially delivering 30-40% EPS growth as restructuring costs normalize over 2026-2027 [1][2]</w:t>
      </w:r>
    </w:p>
    <w:p>
      <w:pPr>
        <w:spacing w:before="40" w:after="40"/>
        <w:ind w:left="283"/>
      </w:pPr>
      <w:r>
        <w:rPr>
          <w:rFonts w:ascii="Calibri" w:hAnsi="Calibri"/>
          <w:b/>
          <w:color w:val="4A6B25"/>
          <w:sz w:val="20"/>
        </w:rPr>
        <w:t xml:space="preserve">3. </w:t>
      </w:r>
      <w:r>
        <w:rPr>
          <w:rFonts w:ascii="Calibri" w:hAnsi="Calibri"/>
          <w:b w:val="0"/>
          <w:color w:val="3A4A28"/>
          <w:sz w:val="20"/>
        </w:rPr>
        <w:t>European heat pump regulatory mandates and the global energy transition provide secular demand drivers independent of construction cycles, with Carrier's #1 market position from the Viessmann acquisition capturing disproportionate share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Viessmann integration complexity — GAAP profit margin of only 5.5% and EPS declining 11.8% YoY show real execution risk; failure to achieve synergies could leave the company with $12.4B of total debt and diluted returns [1]</w:t>
      </w:r>
    </w:p>
    <w:p>
      <w:pPr>
        <w:spacing w:before="40" w:after="40"/>
        <w:ind w:left="283"/>
      </w:pPr>
      <w:r>
        <w:rPr>
          <w:rFonts w:ascii="Calibri" w:hAnsi="Calibri"/>
          <w:b/>
          <w:color w:val="4A6B25"/>
          <w:sz w:val="20"/>
        </w:rPr>
        <w:t xml:space="preserve">2. </w:t>
      </w:r>
      <w:r>
        <w:rPr>
          <w:rFonts w:ascii="Calibri" w:hAnsi="Calibri"/>
          <w:b w:val="0"/>
          <w:color w:val="3A4A28"/>
          <w:sz w:val="20"/>
        </w:rPr>
        <w:t>Residential HVAC cyclicality exposes Carrier to interest rate sensitivity and construction cycle downturns, while European heat pump demand could stall if government subsidies are reduced or energy prices decline [1]</w:t>
      </w:r>
    </w:p>
    <w:p>
      <w:pPr>
        <w:spacing w:before="40" w:after="40"/>
        <w:ind w:left="283"/>
      </w:pPr>
      <w:r>
        <w:rPr>
          <w:rFonts w:ascii="Calibri" w:hAnsi="Calibri"/>
          <w:b/>
          <w:color w:val="4A6B25"/>
          <w:sz w:val="20"/>
        </w:rPr>
        <w:t xml:space="preserve">3. </w:t>
      </w:r>
      <w:r>
        <w:rPr>
          <w:rFonts w:ascii="Calibri" w:hAnsi="Calibri"/>
          <w:b w:val="0"/>
          <w:color w:val="3A4A28"/>
          <w:sz w:val="20"/>
        </w:rPr>
        <w:t>ROE of 8.97% and 5-year revenue CAGR of approximately 4.5% reflect a company whose organic growth and return profile have not yet justified the transformative ambition of the Viessmann acquisition — investors are paying for future improvement, not current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Carrier's core business — manufacturing and installing physical HVAC equipment, heat pumps, refrigeration systems, and building controls — is structurally immune to AI displacement; consumers and data centers require physical cooling infrastructure regardless of AI advances [1]. More significantly, AI is actively increasing demand for Carrier's products: AI data centers require massive cooling capacity, and Carrier's data center cooling business saw orders quadruple in Q2 2026 with revenue forecast raised to approximately $2B for FY2026 [1]. The global energy transition and regulatory mandates for low-GWP refrigerants create additional demand that AI cannot substitute. The only risk is operational — AI-optimized competitors could gain manufacturing or smart building efficiency advantages — but this is a modest competitive risk, not existential. AI Opportunity (1/1): Carrier generates direct, quantifiable revenue from AI-enabling infrastructure; data center cooling revenue projected at approximately $2B for FY2026 with fourfold order growth, making Carrier a direct pick-and-shovel beneficiary of the AI infrastructure buildout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Carrier Global Q2 2026 Earnings — Revenue $6.4B, Organic Sales +3%, Orders +40% YoY, Data Center Orders 4x, Backlog &gt;$8B, FY2026 Guidance Raised to ~$23B Sales / ~$2.90 Adjusted EPS — SEC 8-K, MarketBeat, BillboardInsider, July 2026</w:t>
      </w:r>
    </w:p>
    <w:p>
      <w:pPr>
        <w:spacing w:before="20" w:after="20"/>
        <w:ind w:left="170"/>
      </w:pPr>
      <w:r>
        <w:rPr>
          <w:rFonts w:ascii="Calibri" w:hAnsi="Calibri"/>
          <w:b/>
          <w:color w:val="4A6B25"/>
          <w:sz w:val="15"/>
        </w:rPr>
        <w:t xml:space="preserve">2. </w:t>
      </w:r>
      <w:r>
        <w:rPr>
          <w:rFonts w:ascii="Calibri" w:hAnsi="Calibri"/>
          <w:b w:val="0"/>
          <w:color w:val="3A4A28"/>
          <w:sz w:val="17"/>
        </w:rPr>
        <w:t>Carrier Strategy and Leadership — CEO David Gitlin, Viessmann Acquisition ($13B), Toyota-Inspired Culture, Pure-Play Climate Transformation, AI Board Oversight — McKinsey, Semafor, SEC DEF 14A, 2020-2026</w:t>
      </w:r>
    </w:p>
    <w:p>
      <w:pPr>
        <w:spacing w:before="20" w:after="20"/>
        <w:ind w:left="170"/>
      </w:pPr>
      <w:r>
        <w:rPr>
          <w:rFonts w:ascii="Calibri" w:hAnsi="Calibri"/>
          <w:b/>
          <w:color w:val="4A6B25"/>
          <w:sz w:val="15"/>
        </w:rPr>
        <w:t xml:space="preserve">3. </w:t>
      </w:r>
      <w:r>
        <w:rPr>
          <w:rFonts w:ascii="Calibri" w:hAnsi="Calibri"/>
          <w:b w:val="0"/>
          <w:color w:val="3A4A28"/>
          <w:sz w:val="17"/>
        </w:rPr>
        <w:t>Carrier ESG and Sustainability — Carbon Neutrality 2030 Target, Sustainalytics Low-Risk Rating 16.2, No Major Controversies, Shareholder Lobbying Proposal (23% support) — Sustainalytics, SEC PX14A6G,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CARR Key Statistics: Stock Price $55.03, Forward PE 16.64, PEG 1.07, ROE 8.97%, D/E 92%, Profit Margin 5.52%, Avg Volume 6.4M,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