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CATX</w:t>
      </w:r>
      <w:r>
        <w:rPr>
          <w:rFonts w:ascii="Calibri" w:hAnsi="Calibri"/>
          <w:b/>
          <w:color w:val="1A2010"/>
          <w:sz w:val="40"/>
        </w:rPr>
        <w:t xml:space="preserve">  Perspective Therapeutics, Inc.</w:t>
      </w:r>
    </w:p>
    <w:p>
      <w:pPr>
        <w:spacing w:after="120"/>
      </w:pPr>
      <w:r>
        <w:rPr>
          <w:rFonts w:ascii="Calibri" w:hAnsi="Calibri"/>
          <w:b/>
          <w:color w:val="6E8450"/>
          <w:sz w:val="18"/>
        </w:rPr>
        <w:t>GROWTH SLEEVE · 2026-08-31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NYSE American · United States</w:t>
      </w:r>
    </w:p>
    <w:p>
      <w:pPr>
        <w:spacing w:after="80"/>
      </w:pPr>
      <w:r>
        <w:rPr>
          <w:rFonts w:ascii="Calibri" w:hAnsi="Calibri"/>
          <w:b w:val="0"/>
          <w:color w:val="3A4A28"/>
          <w:sz w:val="20"/>
        </w:rPr>
        <w:t>Perspective Therapeutics is a clinical-stage radiopharmaceutical company developing image-guided, targeted alpha-particle therapies (TATs) for cancer treatment. The company's proprietary 212Pb-based platform uses targeting peptides conjugated to radioisotopes via a proprietary chelator to image and then attack tumors at the cellular level. Lead programs include VMT-alpha-NET (neuroendocrine tumors), VMT01 (melanoma), and PSV359 (FAP-alpha solid tumors). In July 2026, Paul Lyne, Ph.D. was appointed CSO while co-founder Michael Schultz transitioned to Senior Scientific Advisor. Q1 2026 reported revenue of $76K with a net loss of $26.2M (-$0.25 EPS), widening 44% from Q1 2025. FY2025 net loss was $103.6M, up 32% YoY. Cash position of $236.9M provides runway into late 2027. Rebranded from IsoRay in 2022. Headquartered in Seattle, Washington.</w:t>
      </w:r>
    </w:p>
    <w:p>
      <w:r>
        <w:rPr>
          <w:rFonts w:ascii="Calibri" w:hAnsi="Calibri"/>
          <w:b/>
          <w:color w:val="6E8450"/>
          <w:sz w:val="18"/>
        </w:rPr>
        <w:t>163 Employees · https://www.perspectivetherapeutics.com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Perspective Therapeutics pivoted entirely from its legacy isoRay brachytherapy seed business into Pb-212 targeted alpha-particle radiopharmaceuticals — a bold but unproven transformation that abandoned legacy revenue. Updated Phase 1/2a data presented at AACR 2026 showed 43% objective response rate in Cohort 2 of [212Pb]VMT-alpha-NET with no dose-limiting toxicities across 64 treated patients, demonstrating promising early clinical results [2]. However, no products have been commercialized. AI Deployment (0/2): No evidence of AI deployment or AI-driven research capabilities. The company's competitive advantage is in radiochemistry, isotope engineering, and proprietary chelator technology, not computational approaches. Market Share (2/2): Perspective operates in the rapidly growing targeted alpha therapy (TAT) space with a differentiated 212Pb platform versus competitors using actinium-225 or lutetium-177. The 43% response rate and favorable safety profile position the company as a leader among clinical-stage TAT developers [2]. The first meningioma patient dosed in 2026 expands the addressable market. Product Pipeline (2/2): Three Phase 1/2 clinical programs with active data generation: VMT-alpha-NET for neuroendocrine tumors (43% ORR in Phase 1/2a), VMT01 for melanoma, and PSV359 targeting FAP-alpha in solid tumors [2][4]. The first meningioma patient was dosed in the ongoing VMT-alpha-NET study, demonstrating pipeline expansion into new tumor types. R&amp;D Intensity (0/1): While R&amp;D spending is high relative to revenue (the company is pre-revenue), R&amp;D intensity cannot be meaningfully assessed for a pre-revenue biotech with negligible revenue of $80K/quarter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Perspective's purpose — developing targeted alpha-particle therapies to redefine cancer treatment — is specific, scientifically grounded, and directly connected to saving lives [4]. The complete strategic pivot from brachytherapy to targeted alpha therapy demonstrates the mission shapes decisions, even at the cost of abandoning legacy revenue. The mission genuinely differentiates from generic pharma 'improving lives' statements through its specificity around alpha-particle technology. Community Impact (0/2): No evidence of significant charitable programs or community investment. As a 163-person pre-revenue company, resources are appropriately focused on clinical development rather than philanthropy. Employee Retention (0/2): CEO Thijs Spoor was appointed in February 2023 with a tenure of 3.17 years. Average management tenure of 2.7 years and board tenure of 3.2 years reflect a recently reconstituted organization post-pivot [4]. Insufficient data to evaluate retention patterns. Insider Buying (0/2): The $175M capital raise in February 2026 demonstrates institutional conviction in the pipeline, but this is an equity offering, not discretionary insider purchasing [3]. No evidence of meaningful net insider buying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severe weakness reflecting pre-revenue clinical-stage status. D/E of 1.0% is excellent with minimal debt and $236.9M cash providing runway into late 2027 [1][3]. However, every other available metric scores zero: ROE of -37.26% (below the 0% floor), profit margin effectively negative (quarterly revenue of $76K is de minimis against $26.2M quarterly losses), and revenue growth YoY of -30.96% (below the -20% floor) [1]. Forward P/E, PEG, and 5-year revenue CAGR are unavailable and excluded. Calculation on 4 available metrics (D/E 1x, ROE 2x, Revenue Growth YoY 1x, Profit Margin 1x): weighted sum 1.0 / max weighted sum 5.0 x 10 = 2.0. Liquidity floor cleared: 1,489,000 avg volume x $3.16 = $4.7M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Perspective Therapeutics shows mixed-to-finite infinite game qualities appropriate for a small clinical-stage biotech. The mission to redefine cancer therapy through targeted alpha-particle treatments is genuine and connects to a compelling cause. However, the company is too young in its current form (post-2022 rebrand), too small (163 employees), and too early-stage to have been meaningfully tested across Sinek's five dimensions. The pivot from brachytherapy to TAT demonstrates strategic courage, but the outcome remains unproven and the organizational track record is insufficient for higher scores.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Perspective's cause — developing 212Pb-based targeted alpha therapies to treat cancer at the cellular level — is specific, scientifically grounded, and directly tied to saving lives [4]. The complete strategic pivot from isoRay's brachytherapy seeds to Perspective's radiopharmaceutical platform demonstrates the cause shapes decisions, even when costly. The 43% objective response rate in Phase 1/2a and first meningioma patient dosed show the cause is being actively pursued [2]. However, the company has only 4 years of execution under its current identity (rebranded 2022) and has not survived the kind of multi-decade crisis that validates a Just Cause at the highest level.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Thijs Spoor was appointed in February 2023 with 3.17 years tenure. Average management tenure is 2.7 years and board tenure is 3.2 years, reflecting a recently assembled team following the strategic pivot from isoRay [4]. Short organizational tenures are expected for a company that essentially reinvented itself, but Sinek's framework requires evidence of trust — long tenure, low turnover, psychological safety — that simply does not exist yet for this 163-person organization. The company is too young in its current form to have built the institutional trust Sinek values.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Perspective positions its 212Pb platform as technically differentiated from competitors using actinium-225 (Fusion Pharmaceuticals, acquired by AstraZeneca) and lutetium-177 (Novartis Pluvicto), but the competitive framing focuses on technical superiority — higher energy alpha particles, shorter range, proprietary chelator — rather than learning from rivals' strengths [2]. The narrative is about winning the TAT space through better science, not about acknowledging what Novartis or other competitors do well.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complete pivot from isoRay (Cesium-131 brachytherapy seeds) to Perspective Therapeutics (Pb-212 targeted alpha radiopharmaceuticals) represents meaningful strategic flexibility [4]. The company abandoned its entire legacy business model — name, products, revenue base — to pursue a more promising approach to cancer treatment. This was driven by scientific conviction rather than desperation. However, the pivot is still early-stage and unproven, and the binary clinical outcomes ahead mean the flexibility has not yet been validated by results.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completely pivot from a revenue-generating brachytherapy business to a pre-revenue radiopharmaceutical platform required genuine courage — abandoning certain (if small) revenue for uncertain (if potentially transformative) clinical-stage drug development [4]. Raising $175M in February 2026 to fund development through late 2027 demonstrates conviction in the pipeline [3]. However, CEO Spoor has limited public track record (3.17 years) of the kind of costly long-term bets under pressure that score a full 2 in Sinek's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Perspective Therapeutics is a high-conviction clinical-stage bet on targeted alpha therapy, one of the most promising modalities in oncology. Updated Phase 1/2a data presented at AACR 2026 showed a 43% objective response rate for [212Pb]VMT-alpha-NET in Cohort 2, with no dose-limiting toxicities across 64 treated patients and no Grade 5 events — a compelling safety/efficacy profile for a novel radiopharmaceutical [2]. The proprietary 212Pb platform is differentiated from actinium-225 and lutetium-177 competitors through higher-energy alpha particles delivered at shorter range. Three active clinical programs (VMT-alpha-NET, VMT01, PSV359) plus the first meningioma patient dosed in 2026 demonstrate pipeline breadth for a 163-person company [2]. At $3.16 per share versus a $13.00 median analyst target, the market implies over 300% upside if clinical programs succeed [5]. Cash of $236.9M (as of mid-2026, post the $175M February offering) provides runway into late 2027 [1][3].</w:t>
      </w:r>
    </w:p>
    <w:p>
      <w:pPr>
        <w:spacing w:after="120"/>
      </w:pPr>
      <w:r>
        <w:rPr>
          <w:rFonts w:ascii="Calibri" w:hAnsi="Calibri"/>
          <w:b w:val="0"/>
          <w:color w:val="3A4A28"/>
          <w:sz w:val="20"/>
        </w:rPr>
        <w:t>The bear case is severe for this pre-revenue clinical-stage company. Perspective generates essentially zero revenue ($80K in Q1 2026, down 30.96% YoY) while operating at a significant loss (EPS of -$0.25 in Q1) with no clear path to profitability before 2030+ [1]. All three clinical programs face binary Phase 1/2 outcomes — disappointing data on any lead program would devastate the stock with no revenue base to cushion the fall. The 212Pb isotope supply chain is complex and unproven at commercial scale, creating manufacturing risk that competitors using more established isotopes (lutetium-177 for Novartis Pluvicto) do not face. The stock has declined significantly from highs, the $363M market cap limits institutional interest despite adequate daily liquidity ($4.7M daily dollar volume). Management tenure is short (CEO 3.17 years, management average 2.7 years), and the company's entire identity is less than 4 years old [4]. The $175M February offering diluted existing shareholders, and further dilution is likely before any products reach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Phase 1/2a data readouts for VMT-alpha-NET showing 43% ORR durability and expansion into meningioma could validate the 212Pb platform and drive re-rating toward the $12.93 analyst consensus target [2]</w:t>
      </w:r>
    </w:p>
    <w:p>
      <w:pPr>
        <w:spacing w:before="40" w:after="40"/>
        <w:ind w:left="283"/>
      </w:pPr>
      <w:r>
        <w:rPr>
          <w:rFonts w:ascii="Calibri" w:hAnsi="Calibri"/>
          <w:b/>
          <w:color w:val="4A6B25"/>
          <w:sz w:val="20"/>
        </w:rPr>
        <w:t xml:space="preserve">2. </w:t>
      </w:r>
      <w:r>
        <w:rPr>
          <w:rFonts w:ascii="Calibri" w:hAnsi="Calibri"/>
          <w:b w:val="0"/>
          <w:color w:val="3A4A28"/>
          <w:sz w:val="20"/>
        </w:rPr>
        <w:t>Phase 1/2 data from VMT01 (melanoma) and PSV359 (FAP-alpha solid tumors) expected in 2026 — positive results across multiple programs would de-risk the platform thesis [2]</w:t>
      </w:r>
    </w:p>
    <w:p>
      <w:pPr>
        <w:spacing w:before="40" w:after="40"/>
        <w:ind w:left="283"/>
      </w:pPr>
      <w:r>
        <w:rPr>
          <w:rFonts w:ascii="Calibri" w:hAnsi="Calibri"/>
          <w:b/>
          <w:color w:val="4A6B25"/>
          <w:sz w:val="20"/>
        </w:rPr>
        <w:t xml:space="preserve">3. </w:t>
      </w:r>
      <w:r>
        <w:rPr>
          <w:rFonts w:ascii="Calibri" w:hAnsi="Calibri"/>
          <w:b w:val="0"/>
          <w:color w:val="3A4A28"/>
          <w:sz w:val="20"/>
        </w:rPr>
        <w:t>Cash runway of $271M extending into late 2027 eliminates near-term dilution risk and allows management to focus on clinical execution without capital markets distraction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Phase 1/2 failures on any lead program would severely impair the thesis with zero commercial revenue and no products to provide downside support; the 43% ORR must prove durable [2]</w:t>
      </w:r>
    </w:p>
    <w:p>
      <w:pPr>
        <w:spacing w:before="40" w:after="40"/>
        <w:ind w:left="283"/>
      </w:pPr>
      <w:r>
        <w:rPr>
          <w:rFonts w:ascii="Calibri" w:hAnsi="Calibri"/>
          <w:b/>
          <w:color w:val="4A6B25"/>
          <w:sz w:val="20"/>
        </w:rPr>
        <w:t xml:space="preserve">2. </w:t>
      </w:r>
      <w:r>
        <w:rPr>
          <w:rFonts w:ascii="Calibri" w:hAnsi="Calibri"/>
          <w:b w:val="0"/>
          <w:color w:val="3A4A28"/>
          <w:sz w:val="20"/>
        </w:rPr>
        <w:t>Share price erosion risk — CATX has declined from a 52-week high of $6.16 to $3.16, and further declines would erode the $363M market cap that is built entirely on clinical-stage optionality with no commercial revenue support [5]</w:t>
      </w:r>
    </w:p>
    <w:p>
      <w:pPr>
        <w:spacing w:before="40" w:after="40"/>
        <w:ind w:left="283"/>
      </w:pPr>
      <w:r>
        <w:rPr>
          <w:rFonts w:ascii="Calibri" w:hAnsi="Calibri"/>
          <w:b/>
          <w:color w:val="4A6B25"/>
          <w:sz w:val="20"/>
        </w:rPr>
        <w:t xml:space="preserve">3. </w:t>
      </w:r>
      <w:r>
        <w:rPr>
          <w:rFonts w:ascii="Calibri" w:hAnsi="Calibri"/>
          <w:b w:val="0"/>
          <w:color w:val="3A4A28"/>
          <w:sz w:val="20"/>
        </w:rPr>
        <w:t>212Pb isotope supply chain and manufacturing scale-up risk at commercial volumes is unproven, unlike the established lutetium-177 supply chain used by Novartis Pluvicto and other competitors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Radiopharmaceutical drug development is among the most AI-immune business models — developing targeted alpha-particle therapies requires radiochemistry expertise, isotope production (212Pb), proprietary chelator chemistry, wet-lab biology, GMP manufacturing, and multi-year FDA-regulated clinical trials [2]. None of these processes can be replaced or meaningfully disrupted by AI. The regulatory moat (FDA approval requirements, radioactive materials handling licenses, clinical trial evidence standards) creates structural barriers that no AI tool can bypass. Radiopharmaceuticals represent a physically constrained therapeutic modality — you cannot digitize the delivery of alpha particles to cancer cells. If anything, AI could modestly accelerate target identification, imaging analysis, and clinical trial design, enhancing rather than threatening Perspective's development capabilities. No analyst has identified AI as a disruption risk for radiopharmaceutical companies. AI Opportunity (0/1): Perspective does not currently generate any revenue from AI products or services. While the broader radiopharmaceutical field could leverage AI for tumor imaging and treatment planning, no quantified AI revenue contribution exists.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Perspective Therapeutics Q1 2026 Business Highlights — $271M cash, $80K revenue, -$0.25 EPS, StockTitan, May 2026</w:t>
      </w:r>
    </w:p>
    <w:p>
      <w:pPr>
        <w:spacing w:before="20" w:after="20"/>
        <w:ind w:left="170"/>
      </w:pPr>
      <w:r>
        <w:rPr>
          <w:rFonts w:ascii="Calibri" w:hAnsi="Calibri"/>
          <w:b/>
          <w:color w:val="4A6B25"/>
          <w:sz w:val="15"/>
        </w:rPr>
        <w:t xml:space="preserve">2. </w:t>
      </w:r>
      <w:r>
        <w:rPr>
          <w:rFonts w:ascii="Calibri" w:hAnsi="Calibri"/>
          <w:b w:val="0"/>
          <w:color w:val="3A4A28"/>
          <w:sz w:val="17"/>
        </w:rPr>
        <w:t>Perspective Therapeutics Updated Phase 1/2a Data at AACR 2026 — 43% ORR, 64 patients, first meningioma patient dosed, StockTitan, 2026</w:t>
      </w:r>
    </w:p>
    <w:p>
      <w:pPr>
        <w:spacing w:before="20" w:after="20"/>
        <w:ind w:left="170"/>
      </w:pPr>
      <w:r>
        <w:rPr>
          <w:rFonts w:ascii="Calibri" w:hAnsi="Calibri"/>
          <w:b/>
          <w:color w:val="4A6B25"/>
          <w:sz w:val="15"/>
        </w:rPr>
        <w:t xml:space="preserve">3. </w:t>
      </w:r>
      <w:r>
        <w:rPr>
          <w:rFonts w:ascii="Calibri" w:hAnsi="Calibri"/>
          <w:b w:val="0"/>
          <w:color w:val="3A4A28"/>
          <w:sz w:val="17"/>
        </w:rPr>
        <w:t>Perspective Therapeutics $175M Underwritten Offering — SEC Form 8-K, February 2026</w:t>
      </w:r>
    </w:p>
    <w:p>
      <w:pPr>
        <w:spacing w:before="20" w:after="20"/>
        <w:ind w:left="170"/>
      </w:pPr>
      <w:r>
        <w:rPr>
          <w:rFonts w:ascii="Calibri" w:hAnsi="Calibri"/>
          <w:b/>
          <w:color w:val="4A6B25"/>
          <w:sz w:val="15"/>
        </w:rPr>
        <w:t xml:space="preserve">4. </w:t>
      </w:r>
      <w:r>
        <w:rPr>
          <w:rFonts w:ascii="Calibri" w:hAnsi="Calibri"/>
          <w:b w:val="0"/>
          <w:color w:val="3A4A28"/>
          <w:sz w:val="17"/>
        </w:rPr>
        <w:t>Perspective Therapeutics Management Team and CSO Appointment — CEO Thijs Spoor, CSO Paul Lyne (appointed July 2026), 163 employees, GlobeNewsWire and perspectivetherapeutics.com,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ChartMill — CATX Key Statistics: D/E 1%, ROE -37.26%, Avg Volume 1,489,000, Price $3.16, Market Cap $363M,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