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CAT</w:t>
      </w:r>
      <w:r>
        <w:rPr>
          <w:rFonts w:ascii="Calibri" w:hAnsi="Calibri"/>
          <w:b/>
          <w:color w:val="1A2010"/>
          <w:sz w:val="40"/>
        </w:rPr>
        <w:t xml:space="preserve">  Caterpillar Inc.</w:t>
      </w:r>
    </w:p>
    <w:p>
      <w:pPr>
        <w:spacing w:after="120"/>
      </w:pPr>
      <w:r>
        <w:rPr>
          <w:rFonts w:ascii="Calibri" w:hAnsi="Calibri"/>
          <w:b/>
          <w:color w:val="6E8450"/>
          <w:sz w:val="18"/>
        </w:rPr>
        <w:t>DIVIDEND SLEEVE · 2026-10-21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Farm &amp; Heavy Construction Machinery · NYQ · United States</w:t>
      </w:r>
    </w:p>
    <w:p>
      <w:pPr>
        <w:spacing w:after="80"/>
      </w:pPr>
      <w:r>
        <w:rPr>
          <w:rFonts w:ascii="Calibri" w:hAnsi="Calibri"/>
          <w:b w:val="0"/>
          <w:color w:val="3A4A28"/>
          <w:sz w:val="20"/>
        </w:rPr>
        <w:t>Caterpillar is the world's largest manufacturer of construction and mining equipment, off-highway diesel and natural gas engines, industrial gas turbines, and diesel-electric locomotives. The company operates through Construction Industries, Resource Industries, and Energy &amp; Transportation segments. Under CEO Joe Creed (Chairman since April 2026), CAT is experiencing a historic growth cycle driven by AI data center power generation demand, U.S. infrastructure investment, and global reindustrialization. Q2 2026 revenue hit a record $20.5B (+24% YoY) with adjusted EPS of $8.17 (+73%), and backlog soared 92% to $72.1B [1].</w:t>
      </w:r>
    </w:p>
    <w:p>
      <w:r>
        <w:rPr>
          <w:rFonts w:ascii="Calibri" w:hAnsi="Calibri"/>
          <w:b/>
          <w:color w:val="6E8450"/>
          <w:sz w:val="18"/>
        </w:rPr>
        <w:t>118,000 Employees · https://www.caterpillar.com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Caterpillar has executed a major business model expansion into data center power generation — the Energy &amp; Transportation segment's power generation revenue surged 48% in Q2 2026, driven by large gensets and gas turbines for AI data centers, opening a transformative new revenue stream for a 100-year-old industrial company [1]. The company also showcased AI-powered equipment and autonomous construction technology at CES 2026, extending 30+ years of autonomous mining truck deployment into new markets [2]. AI Deployment (2/2): Cat AI Assistant, built on NVIDIA's Jetson Thor physical AI platform, is piloted in the Cat 306 CR Mini Excavator with plans to extend across equipment lines; Cat MineStar Command operates commercial autonomous mining fleets across multiple continents; and Cat Digital's predictive analytics platform monitors over 1.6M connected assets transmitting ~2,000 messages per second, generating AI-driven maintenance recommendations [2]. Market Share (2/2): Caterpillar holds #1 global market share in construction equipment, mining trucks, and reciprocating engines — Q2 2026 construction segment revenue grew 35% with North America up 50%, and record $20.5B quarterly revenue demonstrates dominant competitive positioning [1]. Product Pipeline (1/2): CEO Creed articulated at CES 2026 that 'the biggest bottlenecks in technology today are not in software but in the physical world,' positioning CAT as critical AI infrastructure; pipeline includes autonomous construction equipment, Cat AI Assistant expansion, electrification (battery-electric medium equipment), and hydrogen-ready engines, but specific launch dates with revenue visibility are not detailed [2]. R&amp;D Intensity (1/1): CAT invests approximately $3B annually in R&amp;D (~4% of revenue), with targeted investment in autonomy, digital capabilities, and power generation technology, above heavy industrial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Caterpillar's stated purpose — 'We make sustainable progress possible and drive positive change on every continent' — is clear and identifies the company's role in global infrastructure development, but reads as interchangeable with other large industrial firms and does not articulate a deeply distinctive future vision [2]. Community Impact (1/2): The Caterpillar Foundation has donated over $830M since inception, focused on poverty alleviation, environmental stewardship, and workforce development; at CES 2026, CAT committed $25M to the future workforce building AI-powered equipment, representing meaningful but standard corporate philanthropy for a Fortune 50 company [2][3]. Employee Retention (1/2): CEO Joe Creed is a 29-year company veteran, and the orderly succession from Jim Umpleby reflects institutional stability; however, recent Glassdoor reviews describe a cultural shift toward increased surveillance and chaotic urgency under new leadership, suggesting mixed retention signals [2]. Insider Buying (0/2): Significant net insider selling in 2026 — over $87M in the last 90 days as of Q2, with CFO Bonfield, Group President De Lange, and multiple other executives disposing of shares during the stock's run toward all-time highs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Dividend-sleeve metrics (forced from portfolios.json). At $725.24 (down from ~$850 peak), CAT's Forward P/E of 22.3x is much closer to the 20x target (score 0.94), a significant improvement from the 29.3x reading two months ago [1]. ROE of 57.0% is exceptional (score 1.0), and revenue growth of 24% YoY (Q2 2026) far exceeds the 10% target (score 1.0), driven by record quarterly sales of $20.5B with $3.1B in higher volume and $595M in favorable price realization [1]. The 5-year revenue CAGR of approximately 8% approaches the 10% target (score 0.87). Dividend metrics are uniformly strong: 26% payout ratio (score 1.0), 93 consecutive years of payment (score 1.0, 2x weight), 33 consecutive years of growth (score 1.0), and 7.2% 5-year dividend growth CAGR exceeding the 6% target (score 1.0, 2x weight). The primary drag is D/E of 232.8% (score 0.29), driven by Cat Financial's ~$45B lending portfolio. Profit margin of 14.5% scores 0.73. Weighted sum 10.83/12 = 9.02, rounded to 9. Liquidity: ~$1.9B daily dollar volume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Caterpillar is a century-old institution that has endured two World Wars, the Great Depression, and multiple commodity cycles by maintaining focus on building the world's infrastructure. The CES 2026 AI and autonomy pivot demonstrates adaptive capability, 30+ years of autonomous mining investment validates long-term thinking, and the orderly CEO succession from Umpleby to Creed reflects institutional continuity [2]. However, heavy insider selling of $87M+ in Q2 2026, Glassdoor reports of cultural deterioration under new leadership, and competitive language that sometimes emphasizes market dominance introduce finite-game tensions.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Caterpillar's century-long commitment to building the world's infrastructure constitutes a genuine, partially lived cause — the company has operated through two World Wars, the Great Depression, multiple commodity cycles, and now positions itself as essential AI physical infrastructure through data center power and autonomous equipment [1][2]. CEO Creed's CES framing that physical-world bottlenecks are technology's biggest challenge connects the cause to the AI era. However, the cause is more institutional than inspirational — it reflects what CAT does rather than articulating a bold future state that does not yet exist.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Caterpillar maintains a workforce of ~118,000 employees with competitive industrial compensation, and the CEO succession from Umpleby to 29-year veteran Creed was orderly and planned, reflecting institutional maturity [2]. However, recent Glassdoor reviews describe a cultural shift toward increased surveillance and chaotic urgency under new leadership, the CFO transition (Bonfield retiring, Epley appointed) adds organizational flux during peak growth demands, and insider selling suggests some disconnect between leadership's public messaging and private conviction.</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Management acknowledges competitive dynamics with Komatsu, John Deere, and Cummins constructively, focusing earnings commentary on operational execution, customer value, and market opportunity rather than competitive warfare [1]. CEO Creed's CES 2026 presentation emphasized CAT's own capabilities and the NVIDIA partnership rather than attacking competitors, and the collaboration with NVIDIA itself demonstrates willingness to partner rather than build everything in-house [2].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Caterpillar's expansion from traditional construction and mining equipment into data center power generation represents significant strategic adaptation — a 100-year-old heavy equipment company recognizing that AI infrastructure is the next frontier for its turbine and engine technology, driving 48% power generation revenue growth in Q2 2026 [1]. The autonomous mining-to-construction expansion and Cat AI Assistant demonstrate willingness to evolve core products. However, these are adjacent-market expansions leveraging existing capabilities rather than transformative business model reinventions requiring abandonment of profitable legacy lines.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CAT invested in autonomous mining technology for 30+ years before the AI boom validated the approach, committed capital to electrification and hydrogen-ready engines despite uncertain near-term returns, and maintained R&amp;D spending through the 2020 downturn [2]. The CES 2026 keynote declaring CAT an AI infrastructure company was a bold strategic statement. However, heavy insider selling of $87M+ during peak growth suggests some prioritization of personal returns over long-term conviction, and CAT has been criticized for slow electrification progress relative to European peers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Caterpillar at $725.24 (down ~15% from its ~$850 peak) offers improved value at 22.3x forward earnings for the world's dominant heavy equipment franchise riding the strongest capex super-cycle in decades — record Q2 2026 revenue of $20.5B (+24% YoY), adjusted EPS of $8.17 (+73%), and record backlog of $72.1B (+92% YoY) reflect demand driven by AI data center construction, U.S. infrastructure investment, and global reindustrialization [1]. The Energy &amp; Transportation segment's power generation revenue surged 48% as hyperscalers deploy CAT turbines and gensets at scale, with orders extending into 2030. Management raised FY2026 guidance to mid-to-high-teens revenue growth. ROE of 57%, a 26% payout ratio supporting a 33-year dividend growth streak at 7.2% CAGR, and the NVIDIA Cat AI Assistant partnership position CAT as both an infrastructure beneficiary and AI participant [1][2].</w:t>
      </w:r>
    </w:p>
    <w:p>
      <w:pPr>
        <w:spacing w:after="120"/>
      </w:pPr>
      <w:r>
        <w:rPr>
          <w:rFonts w:ascii="Calibri" w:hAnsi="Calibri"/>
          <w:b w:val="0"/>
          <w:color w:val="3A4A28"/>
          <w:sz w:val="20"/>
        </w:rPr>
        <w:t>The bear case centers on cyclicality meeting a still-premium valuation — at 22.3x forward earnings (improved from 29.3x at peak), CAT prices in sustained growth, but the construction equipment cycle has historically peaked after 2-3 years of strong demand, and backlog conversion could decelerate if global macro conditions deteriorate [1]. The 232.8% debt-to-equity ratio, driven by Cat Financial's ~$45B lending portfolio, introduces leverage risk if credit conditions tighten or equipment residual values decline. Insider selling of $87M+ by C-suite executives in Q2 2026 signals potential valuation concern even at lower prices [3]. The ESG controversy around Caterpillar equipment use in the Israeli-Palestinian conflict has resulted in exclusion from socially responsible indexes and TIAA-CREF divestment, carrying ongoing reputational risk [3]. Profit margin of 14.5% is below the 20% target, and the 0.9% dividend yield offers minimal income protection in a correction despite the strong growth streak.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Record $72.1B backlog with ~59% expected delivery within 12 months provides revenue visibility through 2027 and de-risks near-term estimates, supporting raised mid-to-high-teens revenue growth guidance for FY2026 [1]</w:t>
      </w:r>
    </w:p>
    <w:p>
      <w:pPr>
        <w:spacing w:before="40" w:after="40"/>
        <w:ind w:left="283"/>
      </w:pPr>
      <w:r>
        <w:rPr>
          <w:rFonts w:ascii="Calibri" w:hAnsi="Calibri"/>
          <w:b/>
          <w:color w:val="4A6B25"/>
          <w:sz w:val="20"/>
        </w:rPr>
        <w:t xml:space="preserve">2. </w:t>
      </w:r>
      <w:r>
        <w:rPr>
          <w:rFonts w:ascii="Calibri" w:hAnsi="Calibri"/>
          <w:b w:val="0"/>
          <w:color w:val="3A4A28"/>
          <w:sz w:val="20"/>
        </w:rPr>
        <w:t>Data center power generation demand accelerating — 48% Q2 growth with orders extending into 2030 as hyperscalers deploy billions in AI infrastructure requiring CAT turbines, gensets, and backup power systems; CEO Creed's CES 2026 declaration that 'physical-world bottlenecks are technology's biggest challenge' positions CAT as essential AI infrastructure [1][2]</w:t>
      </w:r>
    </w:p>
    <w:p>
      <w:pPr>
        <w:spacing w:before="40" w:after="40"/>
        <w:ind w:left="283"/>
      </w:pPr>
      <w:r>
        <w:rPr>
          <w:rFonts w:ascii="Calibri" w:hAnsi="Calibri"/>
          <w:b/>
          <w:color w:val="4A6B25"/>
          <w:sz w:val="20"/>
        </w:rPr>
        <w:t xml:space="preserve">3. </w:t>
      </w:r>
      <w:r>
        <w:rPr>
          <w:rFonts w:ascii="Calibri" w:hAnsi="Calibri"/>
          <w:b w:val="0"/>
          <w:color w:val="3A4A28"/>
          <w:sz w:val="20"/>
        </w:rPr>
        <w:t>Autonomous equipment commercialization expanding from mining to construction via the NVIDIA partnership and Cat AI Assistant platform, driving premium pricing and creating recurring software/services revenue streams across 1.6M connected assets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Construction equipment cycle risk — 24% Q2 revenue growth reflects peak-cycle conditions fueled by a historic capex super-cycle; historical patterns suggest demand normalization within 12-18 months, particularly if interest rates remain elevated or trade tensions escalate tariff costs [1]</w:t>
      </w:r>
    </w:p>
    <w:p>
      <w:pPr>
        <w:spacing w:before="40" w:after="40"/>
        <w:ind w:left="283"/>
      </w:pPr>
      <w:r>
        <w:rPr>
          <w:rFonts w:ascii="Calibri" w:hAnsi="Calibri"/>
          <w:b/>
          <w:color w:val="4A6B25"/>
          <w:sz w:val="20"/>
        </w:rPr>
        <w:t xml:space="preserve">2. </w:t>
      </w:r>
      <w:r>
        <w:rPr>
          <w:rFonts w:ascii="Calibri" w:hAnsi="Calibri"/>
          <w:b w:val="0"/>
          <w:color w:val="3A4A28"/>
          <w:sz w:val="20"/>
        </w:rPr>
        <w:t>Cat Financial's ~$45B lending portfolio drives D/E of 232.8%, creating leverage risk if credit conditions tighten, construction loan defaults increase, or equipment residual values decline during a downturn [1]</w:t>
      </w:r>
    </w:p>
    <w:p>
      <w:pPr>
        <w:spacing w:before="40" w:after="40"/>
        <w:ind w:left="283"/>
      </w:pPr>
      <w:r>
        <w:rPr>
          <w:rFonts w:ascii="Calibri" w:hAnsi="Calibri"/>
          <w:b/>
          <w:color w:val="4A6B25"/>
          <w:sz w:val="20"/>
        </w:rPr>
        <w:t xml:space="preserve">3. </w:t>
      </w:r>
      <w:r>
        <w:rPr>
          <w:rFonts w:ascii="Calibri" w:hAnsi="Calibri"/>
          <w:b w:val="0"/>
          <w:color w:val="3A4A28"/>
          <w:sz w:val="20"/>
        </w:rPr>
        <w:t>ESG and reputational risk — Caterpillar equipment use in the Israeli-Palestinian conflict has led to MSCI ESG index exclusion, TIAA-CREF divestment, and Sustainalytics controversy level 4/5; concentrated insider selling of $87M+ across C-suite executives in Q2 2026 adds concern about leadership conviction at current valuation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Caterpillar's business is structurally immune to AI disruption — excavators, mining trucks, turbines, and bulldozers operate in the physical world where AI cannot substitute for heavy machinery [1]. CEO Creed's CES 2026 framing that 'the biggest bottlenecks in technology are in the physical world' captures CAT's structural advantage: AI actively increases demand for CAT's products through data center construction, power generation (48% revenue surge in Q2), and infrastructure buildout for AI systems [1][2]. Analysts have identified CAT as a primary beneficiary of the AI-driven capital expenditure super-cycle. The 30+ year head start in autonomous mining creates a data and deployment moat that new entrants cannot easily replicate. AI Opportunity (1/1): CAT generates measurable AI-related revenue through the Cat AI Assistant (NVIDIA Jetson Thor platform), autonomous mining operations (Cat MineStar Command across multiple continents), AI-powered fleet management and predictive analytics across 1.6M connected assets, and data center power generation equipment contributing significantly to the record $72.1B backlog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Caterpillar Q1-Q2 FY2026 Earnings — Q1 Revenue $17.4B (+22%), Q2 Record $20.5B (+24%), Adjusted EPS $8.17 (+73%), Backlog $72.1B (+92%), Guidance Raised Mid-to-High-Teens Growth — TIKR, Equipment World, MarketBeat, Nasdaq, 2026</w:t>
      </w:r>
    </w:p>
    <w:p>
      <w:pPr>
        <w:spacing w:before="20" w:after="20"/>
        <w:ind w:left="170"/>
      </w:pPr>
      <w:r>
        <w:rPr>
          <w:rFonts w:ascii="Calibri" w:hAnsi="Calibri"/>
          <w:b/>
          <w:color w:val="4A6B25"/>
          <w:sz w:val="15"/>
        </w:rPr>
        <w:t xml:space="preserve">2. </w:t>
      </w:r>
      <w:r>
        <w:rPr>
          <w:rFonts w:ascii="Calibri" w:hAnsi="Calibri"/>
          <w:b w:val="0"/>
          <w:color w:val="3A4A28"/>
          <w:sz w:val="17"/>
        </w:rPr>
        <w:t>Caterpillar CES 2026 AI and Autonomy Strategy — Cat AI Assistant on NVIDIA Jetson Thor, Autonomous Construction Expansion, CEO Creed Physical-World Bottleneck Thesis, $25M Workforce Investment, 2,000 Messages/Second — TechStrong AI, Barchart, Caterpillar.com, January 2026</w:t>
      </w:r>
    </w:p>
    <w:p>
      <w:pPr>
        <w:spacing w:before="20" w:after="20"/>
        <w:ind w:left="170"/>
      </w:pPr>
      <w:r>
        <w:rPr>
          <w:rFonts w:ascii="Calibri" w:hAnsi="Calibri"/>
          <w:b/>
          <w:color w:val="4A6B25"/>
          <w:sz w:val="15"/>
        </w:rPr>
        <w:t xml:space="preserve">3. </w:t>
      </w:r>
      <w:r>
        <w:rPr>
          <w:rFonts w:ascii="Calibri" w:hAnsi="Calibri"/>
          <w:b w:val="0"/>
          <w:color w:val="3A4A28"/>
          <w:sz w:val="17"/>
        </w:rPr>
        <w:t>Caterpillar ESG and Leadership — Israeli-Palestinian Equipment Controversy, MSCI ESG Index Exclusion, TIAA-CREF Divestment, Insider Selling $87M+, Sustainalytics Controversy Level 4/5 — SEC, Mondoweiss, KnowESG, 2012-2026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