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CAVA</w:t>
      </w:r>
      <w:r>
        <w:rPr>
          <w:rFonts w:ascii="Calibri" w:hAnsi="Calibri"/>
          <w:b/>
          <w:color w:val="1A2010"/>
          <w:sz w:val="40"/>
        </w:rPr>
        <w:t xml:space="preserve">  CAVA Group, Inc.</w:t>
      </w:r>
    </w:p>
    <w:p>
      <w:pPr>
        <w:spacing w:after="120"/>
      </w:pPr>
      <w:r>
        <w:rPr>
          <w:rFonts w:ascii="Calibri" w:hAnsi="Calibri"/>
          <w:b/>
          <w:color w:val="6E8450"/>
          <w:sz w:val="18"/>
        </w:rPr>
        <w:t>GROWTH SLEEVE · 2026-08-31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United States</w:t>
      </w:r>
    </w:p>
    <w:p>
      <w:pPr>
        <w:spacing w:after="80"/>
      </w:pPr>
      <w:r>
        <w:rPr>
          <w:rFonts w:ascii="Calibri" w:hAnsi="Calibri"/>
          <w:b w:val="0"/>
          <w:color w:val="3A4A28"/>
          <w:sz w:val="20"/>
        </w:rPr>
        <w:t>CAVA Group, Inc. owns and operates a chain of fast-casual Mediterranean restaurants under the CAVA brand in the United States. The company serves customizable bowls, pitas, and salads made with chef-crafted dips and spreads, and sells a line of dips and spreads through grocery retail channels. Founded in 2006, IPO'd in June 2023 at $22/share, headquartered in Washington, D.C. CAVA operates over 367 restaurants with an expansion target of 1,000 locations by 2032. Q2 FY2026 delivered revenue of $365.4M (+31.3% YoY), same-restaurant sales growth of 9.0% with traffic up 5.3%, restaurant-level profit margin of 25.7%, and net income of $23M (+25.3%). TTM revenue reached $1.29B with $61.6M in profits.</w:t>
      </w:r>
    </w:p>
    <w:p>
      <w:r>
        <w:rPr>
          <w:rFonts w:ascii="Calibri" w:hAnsi="Calibri"/>
          <w:b/>
          <w:color w:val="6E8450"/>
          <w:sz w:val="18"/>
        </w:rPr>
        <w:t>13,480 Employees · https://cava.com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CAVA completed a successful IPO in June 2023 and has since grown from 263 to 367+ restaurants, with 92 net new openings in the year through Q1 FY2026 [1]. The company crossed $1 billion in annual revenue in FY2025 and scaled digital revenue mix to 39.9% of sales, representing a significant channel transformation. The Zoes Kitchen acquisition and conversion strategy demonstrated successful brand transformation at scale. AI Deployment (1/2): CAVA has piloted AI-powered camera vision across in-restaurant food-prep areas, invested in automated digital-order workstations, and trialed data-driven labor-forecasting models as part of its Connected Kitchen initiative [2]. CEO Schulman states AI 'will have a similar impact as the first digital transformation,' but no quantified AI savings have been reported yet. Market Share (2/2): CAVA is the clear category leader in fast-casual Mediterranean dining, the fastest-growing restaurant category in the U.S., with no direct competitor at comparable scale [1]. The company is defining a new category rather than competing in an existing one. Product Pipeline (1/2): Management has communicated a specific expansion plan to 1,000 locations by 2032, with 74-76 new openings planned for 2026, plus menu innovation including salmon addition and grocery channel expansion [1]. R&amp;D Intensity (1/1): Significant investment in Connected Kitchen technology, AI labor forecasting, and digital ordering platforms relative to restaurant industry peers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CAVA's mission to 'bring heart, health, and humanity to food' is specific, thoughtful, and differentiating — it connects the company's Mediterranean cuisine to a larger purpose around wellness and community [3]. Co-founder CEO Brett Schulman has led the company since inception and consistently references this mission in strategic decisions, including paying workers in the 75th-95th percentile of each market. However, the company is too young (founded 2006, IPO'd 2023) to have validated this purpose through multi-decade execution or leadership transitions. Community Impact (2/2): CAVA's Shoulder-to-Shoulder program requires support center staff to work restaurant shifts quarterly while top-performing restaurant team members visit D.C. headquarters, creating reciprocal understanding [3]. The company released its first Impact Report covering people, food sourcing, and planetary impact, and eliminates digital tip prompts to put employee economics first [2]. Employee Retention (1/2): Schulman explicitly hires for high EQ and the 75th-95th percentile wage strategy directly addresses restaurant industry turnover [2]. However, no specific voluntary turnover rate, average tenure data, or employee survey results are publicly available to verify retention claims in an industry with notoriously high churn. Insider Buying (0/2): CAVA insiders reported predominantly stock sales in recent months — 10 transactions on February 26, 2026 totaling $3.1M, with net insider selling over the past 3 months [4]. No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Q2 FY2026 delivered $365.4M revenue (+31.3% YoY) with restaurant-level profit margin of 25.7% and adjusted EBITDA of $54.7M (+30%) [1]. D/E of 62% is below the 70% target (score 1.0). Revenue growth of 31.3% YoY and ~24% 5-year CAGR both score maximum (1.0 each). ROE of 8.02% scores 0.535 on the 0-15% scale, weighted 2x. Net profit margin of 4.79% scores 0.24 on the 0-20% scale. Forward P/E of 107.21 exceeds the 60x floor (score 0.0), and PEG of 4.01 exceeds the 3.0 floor (score 0.0, weighted 2x). Calculation: weighted sum 5.31 / max 10 x 10 = 5.3, rounded to 5. Liquidity easily cleared: 2.37M avg volume x $66.88 = $158.5M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CAVA under co-founder Brett Schulman demonstrates genuine infinite game characteristics — a people-first culture with above-market wages, long-term category creation rather than market share competition, and willingness to invest in employee economics over short-term margins. However, the company is young (IPO'd 2023) and has not yet been tested through economic downturns, leadership transitions, or existential threats that would validate its long-term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CAVA's mission to 'bring heart, health, and humanity to food' is genuine, distinctive, and connects the company's work to a larger purpose around wellness, community, and Mediterranean culinary tradition [3]. CEO Schulman consistently references this purpose in strategic decisions — paying 75th-95th percentile wages, requiring Shoulder-to-Shoulder restaurant shifts for headquarters staff, and eliminating tip prompts [2]. The purpose clearly shapes operational decisions. However, the company was founded in 2006 and IPO'd in 2023 — it has not yet validated this purpose through decades of execution, major leadership transitions, or existential crises.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Schulman's Shoulder-to-Shoulder program creates reciprocal understanding between headquarters and restaurant teams [3]. The company hires for 'high emotional intelligence' and invests in field leadership development with 75th-95th percentile wages [2]. No-digital-tip-prompt policy removes a friction point that damages employee-customer dynamics at most fast-casual peers. However, the restaurant industry inherently has high turnover, CAVA's rapid expansion (92 net new restaurants in a year) creates constant organizational churn, and no specific voluntary turnover or employee satisfaction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CAVA acknowledges Chipotle's pioneering role in fast-casual and uses it as inspiration for its own category-building approach rather than seeking to destroy competitors [2]. Schulman frames competition as building a new Mediterranean category and improving the guest experience rather than taking market share from specific rivals. The company's competitive language focuses on category creation and self-improvement, reflecting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CAVA demonstrated meaningful strategic flexibility by acquiring Zoes Kitchen in 2018 and converting 300+ locations to the CAVA concept, evolving from a handful of full-service restaurants to a scalable fast-casual national brand [1]. The successful pivot from a chef-owned restaurant concept to a 367+ unit fast-casual chain with grocery distribution represents meaningful business model evolution. However, the core Mediterranean food concept has remained consistent — these were incremental adaptations rather than transformative reinventions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Schulman's decision to pay employees in the 75th-95th percentile of each market and eliminate digital tip prompts sacrifices short-term margin for long-term workforce quality — a courageous stance in the margin-pressured restaurant industry [2]. The company invested in Connected Kitchen AI technology and released an Impact Report covering ESG commitments during a period of political backlash against such initiatives. However, CAVA has operated primarily in a favorable growth environment since its IPO and has not yet faced the test of maintaining these commitments during a sustained economic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CAVA continues to execute at elite levels, with Q2 FY2026 delivering $365.4M revenue (+31.3% YoY), same-restaurant sales growth of 9.0% with traffic up 5.3%, restaurant-level profit margin of 25.7%, and net income up 25.3% to $23M [1]. TTM revenue has reached $1.29B with the company guiding 75-77 net new openings for FY2026 and SSSG of 4.5-6.5%. With a clear path to 1,000 locations by 2032 and the Mediterranean fast-casual category still in early innings of national penetration, CAVA has significant runway for sustained 20%+ revenue growth. The company's commitment to 75th-95th percentile wages, Connected Kitchen AI technology, and mission-driven culture creates a differentiated employer brand in a tight labor market, with D/E of just 62% reflecting a conservative balance sheet [5].</w:t>
      </w:r>
    </w:p>
    <w:p>
      <w:pPr>
        <w:spacing w:after="120"/>
      </w:pPr>
      <w:r>
        <w:rPr>
          <w:rFonts w:ascii="Calibri" w:hAnsi="Calibri"/>
          <w:b w:val="0"/>
          <w:color w:val="3A4A28"/>
          <w:sz w:val="20"/>
        </w:rPr>
        <w:t>The primary concern is extreme valuation: at 125x trailing earnings, 107x forward earnings, and a PEG ratio of 4.01, CAVA is priced for perfection with minimal margin of safety [5]. Net profit margin of 4.79% and ROE of 8.02% are thin for a stock commanding this premium -- any compression from rising food costs, wage inflation, or new market entry challenges could trigger severe multiple contraction. The stock has declined 32% from its 52-week high of $98.79 to $66.88, reflecting valuation normalization despite continued operational excellence. The aggressive expansion plan to 1,000 locations by 2032 assumes consistently successful new market entries, but CAVA has yet to prove it can maintain unit economics as it expands beyond core East Coast markets into less familiar geographies. Restaurant-level margin of 25.7% in Q2 was down 60bps YoY, suggesting early signs of margin pressure from wage and food cost inflation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74-76 new restaurant openings in 2026 (16%+ unit growth) with whitespace opportunity to scale from 367 to 1,000+ units nationally as Mediterranean fast-casual penetration remains low</w:t>
      </w:r>
    </w:p>
    <w:p>
      <w:pPr>
        <w:spacing w:before="40" w:after="40"/>
        <w:ind w:left="283"/>
      </w:pPr>
      <w:r>
        <w:rPr>
          <w:rFonts w:ascii="Calibri" w:hAnsi="Calibri"/>
          <w:b/>
          <w:color w:val="4A6B25"/>
          <w:sz w:val="20"/>
        </w:rPr>
        <w:t xml:space="preserve">2. </w:t>
      </w:r>
      <w:r>
        <w:rPr>
          <w:rFonts w:ascii="Calibri" w:hAnsi="Calibri"/>
          <w:b w:val="0"/>
          <w:color w:val="3A4A28"/>
          <w:sz w:val="20"/>
        </w:rPr>
        <w:t>Connected Kitchen AI initiative and labor forecasting models improving prep efficiency and scheduling, potentially expanding restaurant-level margins above the 25.1% achieved in Q1 FY2026</w:t>
      </w:r>
    </w:p>
    <w:p>
      <w:pPr>
        <w:spacing w:before="40" w:after="40"/>
        <w:ind w:left="283"/>
      </w:pPr>
      <w:r>
        <w:rPr>
          <w:rFonts w:ascii="Calibri" w:hAnsi="Calibri"/>
          <w:b/>
          <w:color w:val="4A6B25"/>
          <w:sz w:val="20"/>
        </w:rPr>
        <w:t xml:space="preserve">3. </w:t>
      </w:r>
      <w:r>
        <w:rPr>
          <w:rFonts w:ascii="Calibri" w:hAnsi="Calibri"/>
          <w:b w:val="0"/>
          <w:color w:val="3A4A28"/>
          <w:sz w:val="20"/>
        </w:rPr>
        <w:t>Menu innovation including salmon addition and grocery channel expansion diversifying revenue streams beyond the core dine-in and digital ordering channels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valuation at 107x forward P/E and PEG of 4.01 leaves minimal margin of safety — the 32% decline from the 52-week high of $98.79 demonstrates the stock's vulnerability to sentiment shifts, and any miss on same-store sales (guided 4.5-6.5%) or unit growth targets could trigger further drawdowns</w:t>
      </w:r>
    </w:p>
    <w:p>
      <w:pPr>
        <w:spacing w:before="40" w:after="40"/>
        <w:ind w:left="283"/>
      </w:pPr>
      <w:r>
        <w:rPr>
          <w:rFonts w:ascii="Calibri" w:hAnsi="Calibri"/>
          <w:b/>
          <w:color w:val="4A6B25"/>
          <w:sz w:val="20"/>
        </w:rPr>
        <w:t xml:space="preserve">2. </w:t>
      </w:r>
      <w:r>
        <w:rPr>
          <w:rFonts w:ascii="Calibri" w:hAnsi="Calibri"/>
          <w:b w:val="0"/>
          <w:color w:val="3A4A28"/>
          <w:sz w:val="20"/>
        </w:rPr>
        <w:t>Net profit margin of 4.79% is razor-thin and vulnerable to food cost inflation, minimum wage increases, and new market entry costs — Q2 restaurant-level margin of 25.7% was already down 60bps YoY despite strong revenue growth [1]</w:t>
      </w:r>
    </w:p>
    <w:p>
      <w:pPr>
        <w:spacing w:before="40" w:after="40"/>
        <w:ind w:left="283"/>
      </w:pPr>
      <w:r>
        <w:rPr>
          <w:rFonts w:ascii="Calibri" w:hAnsi="Calibri"/>
          <w:b/>
          <w:color w:val="4A6B25"/>
          <w:sz w:val="20"/>
        </w:rPr>
        <w:t xml:space="preserve">3. </w:t>
      </w:r>
      <w:r>
        <w:rPr>
          <w:rFonts w:ascii="Calibri" w:hAnsi="Calibri"/>
          <w:b w:val="0"/>
          <w:color w:val="3A4A28"/>
          <w:sz w:val="20"/>
        </w:rPr>
        <w:t>Expansion risk as CAVA scales from 367 to 1,000+ locations: new market entries beyond the core East Coast geography face lower brand awareness, higher customer acquisition costs, and unproven unit economics in less familiar markets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CAVA's core business — operating physical restaurants, preparing fresh Mediterranean food, and delivering in-person hospitality — is structurally protected from AI disruption [2]. Restaurants require physical labor for food preparation, customer service, and facility management that AI cannot substitute. The fast-casual dining experience depends on human interaction, ingredient freshness, and physical ambiance beyond AI's reach. However, CAVA faces some indirect AI exposure: AI-powered ordering platforms and food delivery aggregators could reduce the differentiation of the in-store experience, and AI-driven competitive intelligence could accelerate rival expansion strategies. AI Opportunity (0/1): While CAVA has deployed AI operationally through camera vision for food prep monitoring, labor forecasting, and Connected Kitchen predictive scheduling, these are internal efficiency tools generating cost savings rather than AI products or services generating external revenue [2]. No quantifiable AI-specific revenue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CAVA Group Q1 and Q2 FY2026 Earnings Releases — Q2: $365.4M revenue (+31.3%), SSSG 9.0%, restaurant margin 25.7%, net income $23M (+25.3%); Q1: $434.4M revenue (+32.2%), adj EBITDA $61.7M (+37.6%); FY2026 guidance: 75-77 openings, SSSG 4.5-6.5% — BusinessWire, Nasdaq, SEC Filing, May-August 2026</w:t>
      </w:r>
    </w:p>
    <w:p>
      <w:pPr>
        <w:spacing w:before="20" w:after="20"/>
        <w:ind w:left="170"/>
      </w:pPr>
      <w:r>
        <w:rPr>
          <w:rFonts w:ascii="Calibri" w:hAnsi="Calibri"/>
          <w:b/>
          <w:color w:val="4A6B25"/>
          <w:sz w:val="15"/>
        </w:rPr>
        <w:t xml:space="preserve">2. </w:t>
      </w:r>
      <w:r>
        <w:rPr>
          <w:rFonts w:ascii="Calibri" w:hAnsi="Calibri"/>
          <w:b w:val="0"/>
          <w:color w:val="3A4A28"/>
          <w:sz w:val="17"/>
        </w:rPr>
        <w:t>CEO Brett Schulman on AI, Connected Kitchen, Leadership Culture — Yahoo Finance, McKinsey, Darden CEO Series, LinkedIn, 2025-2026</w:t>
      </w:r>
    </w:p>
    <w:p>
      <w:pPr>
        <w:spacing w:before="20" w:after="20"/>
        <w:ind w:left="170"/>
      </w:pPr>
      <w:r>
        <w:rPr>
          <w:rFonts w:ascii="Calibri" w:hAnsi="Calibri"/>
          <w:b/>
          <w:color w:val="4A6B25"/>
          <w:sz w:val="15"/>
        </w:rPr>
        <w:t xml:space="preserve">3. </w:t>
      </w:r>
      <w:r>
        <w:rPr>
          <w:rFonts w:ascii="Calibri" w:hAnsi="Calibri"/>
          <w:b w:val="0"/>
          <w:color w:val="3A4A28"/>
          <w:sz w:val="17"/>
        </w:rPr>
        <w:t>CAVA Impact Report, Shoulder-to-Shoulder Program, ESG Initiatives — Restaurant Business Online, CSRHub, 2025-2026</w:t>
      </w:r>
    </w:p>
    <w:p>
      <w:pPr>
        <w:spacing w:before="20" w:after="20"/>
        <w:ind w:left="170"/>
      </w:pPr>
      <w:r>
        <w:rPr>
          <w:rFonts w:ascii="Calibri" w:hAnsi="Calibri"/>
          <w:b/>
          <w:color w:val="4A6B25"/>
          <w:sz w:val="15"/>
        </w:rPr>
        <w:t xml:space="preserve">4. </w:t>
      </w:r>
      <w:r>
        <w:rPr>
          <w:rFonts w:ascii="Calibri" w:hAnsi="Calibri"/>
          <w:b w:val="0"/>
          <w:color w:val="3A4A28"/>
          <w:sz w:val="17"/>
        </w:rPr>
        <w:t>CAVA Insider Transactions — Yahoo Finance, Fintel, Simply Wall St,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GuruFocus — CAVA Key Statistics: Forward P/E 107.21, PEG 4.01, ROE 8.02%, D/E 62%, TTM Revenue $1.29B, Market Cap $7.82B,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