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CCB</w:t>
      </w:r>
      <w:r>
        <w:rPr>
          <w:rFonts w:ascii="Calibri" w:hAnsi="Calibri"/>
          <w:b/>
          <w:color w:val="1A2010"/>
          <w:sz w:val="40"/>
        </w:rPr>
        <w:t xml:space="preserve">  Coastal Financial Corporation</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Coastal Financial Corporation operates as the bank holding company for Coastal Community Bank, providing traditional community banking services and a banking-as-a-service (CCBX) platform that enables fintech partners including T-Mobile, Robinhood, Greenwood, Aven, and LendingPoint to offer FDIC-insured deposit, lending, and card products. Headquartered in Everett, Washington, with $5.66B in total assets. Q2 2026 revenue of $178.1M (up 49% YoY) was overshadowed by a $68.8M credit expense from a single CCBX partner, triggering securities fraud investigations.</w:t>
      </w:r>
    </w:p>
    <w:p>
      <w:r>
        <w:rPr>
          <w:rFonts w:ascii="Calibri" w:hAnsi="Calibri"/>
          <w:b/>
          <w:color w:val="6E8450"/>
          <w:sz w:val="18"/>
        </w:rPr>
        <w:t>483 Employees · https://www.coastalbank.com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Coastal transformed from a small Puget Sound community bank ($211.9M revenue in FY2022) into a significant BaaS provider ($404.6M in FY2025) through its CCBX platform, which now powers 20+ active fintech partners including T-Mobile, Robinhood, Greenwood, and LendingPoint [1][2]. The GreenFi climate-friendly fintech acquisition added a new consumer vertical. However, CCBX is a single platform evolving incrementally rather than multiple successful launches. AI Deployment (0/2): No evidence of AI-powered products shipping to customers or quantified AI-driven cost savings. Market Share (1/2): Coastal is a meaningful but not dominant BaaS provider — Cross River, Evolve, and Column serve larger fintech ecosystems, though Q2 2026 revenue of $178.1M (up 49.1% YoY) shows rapid organic growth in its niche [1]. Product Pipeline (1/2): Appointment of Brian Hamilton as CCBX President and Ryan Hall as CPO signals platform development focus, with continued partner onboarding toward launch and active status [3]. No specific next-gen products announced with timelines. R&amp;D Intensity (0/1): No above-average R&amp;D spending data; banks do not typically report R&amp;D metrics.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Coastal positions itself as blending 'fintech innovation with banking expertise to deliver flexible, compliant solutions' — functionally generic, interchangeable with any BaaS provider, and does not articulate a distinctive purpose beyond business growth [3]. Community Impact (0/2): Community bank roots in the Puget Sound region and GreenFi acquisition signal environmental awareness, but these are business initiatives, not philanthropy. No evidence of significant charitable programs or community investment dollar amounts. Employee Retention (0/2): Glassdoor rating of 4.0/5.0 but only 51% of employees recommend the company and 35% have a positive business outlook, suggesting mixed internal sentiment [3]. The July 2026 CFO transition during the credit crisis adds leadership instability. Insider Buying (2/2): CEO Eric Sprink purchased 10,000 shares at $44.45 on August 6, 2026, investing $444,500 of personal capital days after the stock dropped 43.5% on the Q2 credit loss — a strong conviction signal from the top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Q2 2026 $68.8M credit expense from a single CCBX partner drove a net loss of $42.1M and TTM profit margin of -1.06% (score 0.0) and ROE of -0.83% (score 0.0, 2× weight) [1]. These are entirely attributable to the isolated partner event; Q1 2026 ROE was 9.8% and normalized FY2025 profit margin was 13.5% [2]. Balance sheet is conservatively managed with D/E of approximately 11.4% ($52.6M total debt against equity), with $1.01B cash plus $1.12B contingent borrowing capacity [1]. Forward P/E of 6.88 reflects deep value as analysts project earnings normalization (score 1.0). Five-year revenue CAGR of approximately 37.5% demonstrates sustained BaaS-driven growth (score 1.0, 2× weight). TTM revenue growth of -1.5% is depressed by accounting effects (score 0.62). Liquidity: $39.94 × 256,695 = $10.3M passes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Coastal Financial operates with a growth-oriented business strategy but lacks a clearly articulated Just Cause in Sinek's framework. The BaaS transformation shows strategic flexibility and CEO Sprink's $444,500 stock purchase after the Q2 loss demonstrates personal conviction, but the organization is fundamentally optimizing for revenue growth and scale rather than advancing a vision of a better future. The securities fraud investigation and credit quality deterioration raise questions about whether growth was prioritized over risk discipline.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Coastal's purpose centers on enabling fintech innovation through its banking platform, but this reads as a business strategy rather than a Just Cause — it does not describe a future state so appealing that people would sacrifice to advance it. CEO Sprink's public statements emphasize growth, scale, and talent acquisition rather than a transformative vision for financial services [3]. The community bank roots provide some service orientation, but the BaaS platform is fundamentally a scale play, not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Coastal expanded its executive team with four key appointments — CPO, CCO, CCrO, and CISO — bringing experienced external leaders into the organization [3]. CEO Sprink's 'walk-through-walls' culture emphasizes empowerment and calculated risk-taking. However, only 51% of Glassdoor employees recommend the company, the July 2026 CFO transition during a crisis adds leadership instability, and the credit blow-up suggests risk management processes may not have empowered team members to flag problems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Coastal's public communications do not reference learning from BaaS competitors like Cross River Bank, Evolve, or Column. The competitive language focuses on Coastal's own growth and differentiation rather than acknowledging rivals' strengths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Coastal's evolution from a traditional community bank to a BaaS-powered fintech platform represents meaningful strategic adaptation — revenue grew from ~$212M (FY2022) to $405M (FY2025) primarily through CCBX partnerships rather than traditional branch expansion [2][4]. However, this was an additive transformation (community banking continues alongside BaaS) rather than a painful pivot that required abandoning the core business. The company expanded its model rather than reinventing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Sprink invested $444,500 of personal capital in CCB stock within days of a 43.5% share price decline caused by the Q2 2026 credit loss — a meaningful demonstration of personal conviction during crisis [5]. The company has maintained its 9-year commitment to the BaaS strategy despite reputational damage from the $68.8M partner-related loss, choosing to strengthen the platform rather than retreat [1]. However, the securities fraud investigation raises questions about whether leadership adequately disclosed BaaS credit risks, which undermines the courageous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Coastal Financial's CCBX platform has driven a remarkable revenue transformation — 5-year CAGR of 37.5% with Q2 2026 revenue of $178.1M (up 49.1% YoY) and record net interest income of $89.4M (up 16.4% YoY), powering 20+ active fintech partners including T-Mobile and Robinhood [1][2]. At forward P/E of 6.88 with a conservatively managed balance sheet (D/E ~11.4%, $1.01B cash on hand), the stock prices in excessive credit risk from the isolated Q2 partner event. CEO Sprink's $444,500 insider purchase at $44.45 signals management conviction that the $68.8M credit expense was truly a one-off rather than systemic, and consensus forward EPS projects earnings normalization [5].</w:t>
      </w:r>
    </w:p>
    <w:p>
      <w:pPr>
        <w:spacing w:after="120"/>
      </w:pPr>
      <w:r>
        <w:rPr>
          <w:rFonts w:ascii="Calibri" w:hAnsi="Calibri"/>
          <w:b w:val="0"/>
          <w:color w:val="3A4A28"/>
          <w:sz w:val="20"/>
        </w:rPr>
        <w:t>The Q2 2026 loss exposed critical concentration risk: a single CCBX partner relationship generated a $68.8M credit expense ($22.8M provision plus $46.0M valuation adjustment on credit enhancement assets), wiping out an entire quarter of profitability and triggering securities fraud investigations from BFA Law, Holzer &amp; Holzer, and Hagens Berman [1][3]. The stock has declined 67% from its January 2026 high of $120.05 to $39.94. Nonperforming loans rose to 1.50%+ for CCBX operations (exceeding the 0.50% preferred threshold for community bank loans) with net charge-offs annualizing at 5.18% [1][2]. The BaaS model inherently creates exposure to fintech partners' credit quality, and Coastal's risk management framework proved inadequate at preventing large single-counterparty losses. The CFO transition during crisis period raises governance questions, and only 35% of Glassdoor reviewers have a positive business outlook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normalization in H2 2026 as the isolated $68.8M credit expense rolls off, with forward P/E of 6.88 implying significant upside if credit quality stabilizes and quarterly earnings return to the $12M+ Q1 2026 run rate [1]</w:t>
      </w:r>
    </w:p>
    <w:p>
      <w:pPr>
        <w:spacing w:before="40" w:after="40"/>
        <w:ind w:left="283"/>
      </w:pPr>
      <w:r>
        <w:rPr>
          <w:rFonts w:ascii="Calibri" w:hAnsi="Calibri"/>
          <w:b/>
          <w:color w:val="4A6B25"/>
          <w:sz w:val="20"/>
        </w:rPr>
        <w:t xml:space="preserve">2. </w:t>
      </w:r>
      <w:r>
        <w:rPr>
          <w:rFonts w:ascii="Calibri" w:hAnsi="Calibri"/>
          <w:b w:val="0"/>
          <w:color w:val="3A4A28"/>
          <w:sz w:val="20"/>
        </w:rPr>
        <w:t>CCBX platform revenue momentum continuing at 40%+ YoY as existing partners scale and new fintech relationships onboard, with net interest income at a record $89.4M in Q2 [1]</w:t>
      </w:r>
    </w:p>
    <w:p>
      <w:pPr>
        <w:spacing w:before="40" w:after="40"/>
        <w:ind w:left="283"/>
      </w:pPr>
      <w:r>
        <w:rPr>
          <w:rFonts w:ascii="Calibri" w:hAnsi="Calibri"/>
          <w:b/>
          <w:color w:val="4A6B25"/>
          <w:sz w:val="20"/>
        </w:rPr>
        <w:t xml:space="preserve">3. </w:t>
      </w:r>
      <w:r>
        <w:rPr>
          <w:rFonts w:ascii="Calibri" w:hAnsi="Calibri"/>
          <w:b w:val="0"/>
          <w:color w:val="3A4A28"/>
          <w:sz w:val="20"/>
        </w:rPr>
        <w:t>CEO Sprink's insider purchase of $444,500 at $44.45 per share, plus strengthened executive team (new CCBX President, CPO, CCrO), signals management conviction in the recovery thesis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investigations by multiple law firms could result in costly litigation, management distraction, and damages if material misrepresentation is proven regarding BaaS partner risk disclosures — the stock trades 67% below its January high reflecting this overhang [3]</w:t>
      </w:r>
    </w:p>
    <w:p>
      <w:pPr>
        <w:spacing w:before="40" w:after="40"/>
        <w:ind w:left="283"/>
      </w:pPr>
      <w:r>
        <w:rPr>
          <w:rFonts w:ascii="Calibri" w:hAnsi="Calibri"/>
          <w:b/>
          <w:color w:val="4A6B25"/>
          <w:sz w:val="20"/>
        </w:rPr>
        <w:t xml:space="preserve">2. </w:t>
      </w:r>
      <w:r>
        <w:rPr>
          <w:rFonts w:ascii="Calibri" w:hAnsi="Calibri"/>
          <w:b w:val="0"/>
          <w:color w:val="3A4A28"/>
          <w:sz w:val="20"/>
        </w:rPr>
        <w:t>BaaS concentration risk remains structurally unresolved — the Q2 loss demonstrated that a single partner failure can eliminate quarterly profitability, and the model's counterparty exposure is difficult to diversify quickly [1]</w:t>
      </w:r>
    </w:p>
    <w:p>
      <w:pPr>
        <w:spacing w:before="40" w:after="40"/>
        <w:ind w:left="283"/>
      </w:pPr>
      <w:r>
        <w:rPr>
          <w:rFonts w:ascii="Calibri" w:hAnsi="Calibri"/>
          <w:b/>
          <w:color w:val="4A6B25"/>
          <w:sz w:val="20"/>
        </w:rPr>
        <w:t xml:space="preserve">3. </w:t>
      </w:r>
      <w:r>
        <w:rPr>
          <w:rFonts w:ascii="Calibri" w:hAnsi="Calibri"/>
          <w:b w:val="0"/>
          <w:color w:val="3A4A28"/>
          <w:sz w:val="20"/>
        </w:rPr>
        <w:t>Net charge-offs annualizing at 5.18% and nonperforming CCBX loans at 1.50%+ suggest credit quality deterioration that could extend beyond the single partner, particularly if fintech lending standards prove systemically weak across the CCBX portfolio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Coastal's core banking infrastructure — the FDIC-insured charter, regulatory compliance framework, and partner settlement systems — creates structural moats that AI cannot substitute. BaaS requires a chartered bank's regulatory status, capital reserves, and compliance oversight, none of which AI can replicate [1][2]. However, the BaaS model faces indirect AI risk: AI-native fintechs could reduce their dependency on bank sponsors by pursuing their own charters, and AI-powered credit decisioning could commoditize the underwriting capabilities Coastal provides to partners. The Q2 2026 credit loss highlights concentration risk inherent in the BaaS model [1]. AI Opportunity (0/1): No evidence of AI-generated revenue. Coastal has not announced AI-powered products or services, and no AI-related revenue contribution was identified in earnings disclosures.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Coastal Financial Corporation Q2 2026 Results — GlobeNewsWire / SEC Form 8-K, July 30, 2026</w:t>
      </w:r>
    </w:p>
    <w:p>
      <w:pPr>
        <w:spacing w:before="20" w:after="20"/>
        <w:ind w:left="170"/>
      </w:pPr>
      <w:r>
        <w:rPr>
          <w:rFonts w:ascii="Calibri" w:hAnsi="Calibri"/>
          <w:b/>
          <w:color w:val="4A6B25"/>
          <w:sz w:val="15"/>
        </w:rPr>
        <w:t xml:space="preserve">2. </w:t>
      </w:r>
      <w:r>
        <w:rPr>
          <w:rFonts w:ascii="Calibri" w:hAnsi="Calibri"/>
          <w:b w:val="0"/>
          <w:color w:val="3A4A28"/>
          <w:sz w:val="17"/>
        </w:rPr>
        <w:t>Coastal Financial Corporation Q1 2026 Results — GlobeNewsWire / StockTitan, April 29, 2026</w:t>
      </w:r>
    </w:p>
    <w:p>
      <w:pPr>
        <w:spacing w:before="20" w:after="20"/>
        <w:ind w:left="170"/>
      </w:pPr>
      <w:r>
        <w:rPr>
          <w:rFonts w:ascii="Calibri" w:hAnsi="Calibri"/>
          <w:b/>
          <w:color w:val="4A6B25"/>
          <w:sz w:val="15"/>
        </w:rPr>
        <w:t xml:space="preserve">3. </w:t>
      </w:r>
      <w:r>
        <w:rPr>
          <w:rFonts w:ascii="Calibri" w:hAnsi="Calibri"/>
          <w:b w:val="0"/>
          <w:color w:val="3A4A28"/>
          <w:sz w:val="17"/>
        </w:rPr>
        <w:t>Coastal Financial Leadership, Culture, Securities Fraud Investigations — TipRanks, Glassdoor, Hagens Berman, BFA Law,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CCB Key Statistics and Financial Data,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CEO Eric Sprink Insider Purchase — $444,500 in CCB Stock at $44.45, August 6,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