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CCEP</w:t>
      </w:r>
      <w:r>
        <w:rPr>
          <w:rFonts w:ascii="Calibri" w:hAnsi="Calibri"/>
          <w:b/>
          <w:color w:val="1A2010"/>
          <w:sz w:val="40"/>
        </w:rPr>
        <w:t xml:space="preserve">  Coca-Cola Europacific Partners PLC</w:t>
      </w:r>
    </w:p>
    <w:p>
      <w:pPr>
        <w:spacing w:after="120"/>
      </w:pPr>
      <w:r>
        <w:rPr>
          <w:rFonts w:ascii="Calibri" w:hAnsi="Calibri"/>
          <w:b/>
          <w:color w:val="6E8450"/>
          <w:sz w:val="18"/>
        </w:rPr>
        <w:t>DIVIDEND SLEEVE · 2026-09-15 · Inspire: -1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68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Consumer Defensive · Beverages - Non-Alcoholic · NASDAQ · United Kingdom</w:t>
      </w:r>
    </w:p>
    <w:p>
      <w:pPr>
        <w:spacing w:after="80"/>
      </w:pPr>
      <w:r>
        <w:rPr>
          <w:rFonts w:ascii="Calibri" w:hAnsi="Calibri"/>
          <w:b w:val="0"/>
          <w:color w:val="3A4A28"/>
          <w:sz w:val="20"/>
        </w:rPr>
        <w:t>Coca-Cola Europacific Partners is the world's largest Coca-Cola bottler by revenue, producing, distributing, and selling Coca-Cola branded and other non-alcoholic beverages across Western Europe, Australia, the Pacific, and Indonesia. Serves approximately 600 million consumers across 31 countries with brands including Coca-Cola, Fanta, Sprite, Monster Energy, and Costa Coffee. Formed through the 2021 merger with Coca-Cola Amatil. H1 2026 delivered revenue of EUR 10.7B (+6.1% FX-neutral) with diluted EPS up 10.6% to EUR 2.20 and comparable operating profit of EUR 1.48B (+8.1% FX-neutral).</w:t>
      </w:r>
    </w:p>
    <w:p>
      <w:r>
        <w:rPr>
          <w:rFonts w:ascii="Calibri" w:hAnsi="Calibri"/>
          <w:b/>
          <w:color w:val="6E8450"/>
          <w:sz w:val="18"/>
        </w:rPr>
        <w:t>37,000 Employees · https://www.cocacolaep.com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CCEP completed the transformative Coca-Cola Amatil acquisition in 2021, expanding from a European bottler to a global operation spanning 31 countries and doubling the consumer base from 300M to 600M [1]. H1 2026 showed 6.1% FX-neutral revenue growth with Europe up 5.9% and Asia-Pacific up 5.4% FX-neutral, demonstrating successful integration and execution. Q1 2026 Europe revenue grew 9.8% driven by strategic pricing and positive brand mix [1]. AI Deployment (1/2): CCEP deploys AI across procurement analytics (Resilinc partnership for cognitive risk sensing), sustainability monitoring (Osapiens AI platform), demand forecasting across 31 markets, and an AI-powered Career Hub for global talent management [2]. Practical deployment with operational impact but no quantified revenue or cost savings publicly reported. Market Share (2/2): World's largest Coca-Cola bottler by revenue with dominant market share in Western European beverage distribution and growing Asia-Pacific presence, serving 600 million consumers across 31 countries [1]. Pipeline (0/2): No specific next-generation product launches with defined timelines; growth driven by volume, mix, and pricing optimization within existing brand portfolio. R&amp;D Intensity (1/1): Investment in AI analytics, digital supply chain transformation, and sustainability-focused packaging innovation (100% recyclable packaging targets) is above average for the bottling industry [2][3].</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CCEP's purpose of creating 'a better shared future' through sustainable beverages is clear and connects to environmental stewardship, but is broadly similar to other consumer goods companies' sustainability commitments and not deeply distinctive as a vision of a future state [3]. Community Impact (2/2): CCEP earned MSCI ESG Rating of AA, CDP Climate A List recognition for nine consecutive years, ISS ESG Prime Rating, and FTSE4Good constituent for ten consecutive years — demonstrating genuine, measurable environmental stewardship distinctive among beverage industry peers [3]. The company has specific SBTi-approved climate targets and invests in packaging sustainability initiatives. Employee Retention (1/2): CEO Damian Gammell has led since 2016 providing 10 years of leadership stability. Glassdoor rating of 3.7/5 with 3.6 for culture and values is adequate [2]. AI-powered Career Hub demonstrates investment in employee development, but some reviews describe pressure on targets over people, and no specific retention or turnover data distinguishes CCEP from peers. Insider Buying (0/2): No evidence of meaningful net insider buying by CEO Gammell or other executives in the last 12 months.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 stock metrics. H1 2026 delivered EUR 10.7B revenue (+6.1% FX-neutral) with comparable operating profit of EUR 1.48B (+8.1% FX-neutral) and diluted EPS up 10.6% to EUR 2.20 [1]. FY2026 guidance reaffirmed: 3-4% revenue growth, ~7% operating profit growth, comparable FCF of at least EUR 1.7B. ROE of 23.5% strongly exceeds the 15% target (score 1.0) [4]. D/E of 139% reflects Amatil acquisition leverage but is being deleveraged, scoring 0.70 against the 300% floor. Forward P/E of 18.4 scores 1.0 against the 20 target [4]. Revenue growth YoY of ~5% scores 0.83; estimated 5-year revenue CAGR of ~6.5% scores 0.77. Profit margin of 9.35% scores 0.47, structurally constrained by the bottling model [4]. Dividend metrics are strong: payout ratio ~47% (score 0.88), 10+ consecutive years paid (score 1.0, 2x weight), 8 consecutive years growth (score 0.80), and ~18% five-year dividend growth CAGR driven by post-Amatil expansion (score 1.0, 2x weight). Weighted sum 10.4/12 = Infrastructure 9. Liquidity cleared at $191M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CCEP demonstrates solid infinite game characteristics through sustained environmental stewardship (CDP Climate A List nine consecutive years, MSCI AA), the transformative Amatil acquisition expanding from European to Europacific operations, and CEO Gammell's 10-year tenure providing strategic consistency. The exclusive franchise partnership with The Coca-Cola Company creates natural long-term orientation. However, the fundamentally execution-focused bottling model limits the depth of the Just Cause, and the company has not faced the kind of existential test that validates truly infinite thinking.</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CCEP's purpose of creating 'a better shared future' through sustainable beverages is genuine and partially lived out, validated by nine consecutive CDP Climate A List awards, MSCI AA ESG rating, and FTSE4Good membership for ten years [3]. Strategic decisions — the Amatil acquisition, packaging sustainability investments, SBTi-approved climate targets — can be traced back to this cause. However, the cause has not been tested through existential crisis, and the primary business model (bottling sugary carbonated beverages) creates inherent tension with health and wellness aspects of a 'better shared future.'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Gammell's 10-year tenure since 2016 provides leadership stability. Glassdoor rating of 3.7/5 is adequate for the consumer staples sector [2]. Investment in AI-powered Career Hub and talent development demonstrates organizational commitment to employee growth. However, some employee reviews describe pressure on numbers over people and inconsistent management support. No standout evidence of exceptional psychological safety or retention distinguishes CCEP from well-run peers. KnowTheChain scored the company 10/100 for forced labor supply chain practices, though this reflects industry-wide challenges [3].</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CCEP operates within the Coca-Cola franchise system where competition is framed around operational excellence rather than rival destruction. Management acknowledges PepsiCo bottlers' strengths in specific markets and uses competitive benchmarking to improve distribution efficiency and execution [1]. The focus on earning growth through better execution reflects an infinite competitive mindset, and the partnership-oriented franchise model inherently fosters collaborative rather than destructive competition.</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The 2021 Coca-Cola Amatil acquisition transformed CCEP from a European bottler to a global Europacific operation, entering Australia, New Zealand, Indonesia, and the Pacific [1]. This expanded the addressable market from 300M to 600M consumers and diversified geographic risk. However, the core business model (bottling and distributing Coca-Cola branded products) remained fundamentally unchanged — a geographic extension, not a business model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Acquiring Coca-Cola Amatil during COVID-19 in 2021 required significant financial commitment and integration risk, demonstrating willingness to invest for long-term positioning when market conditions were uncertain [1]. Sustained ESG investment resulting in MSCI AA rating and CDP A List for nine consecutive years represents choosing long-term environmental stewardship over near-term cost optimization. However, no examples of dramatically sacrificing profitable but misaligned business lines distinguish CCEP beyond sound corporate stewardship.</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Coca-Cola Europacific Partners is the world's largest Coca-Cola bottler, offering defensive consumer staples exposure with improving profitability. H1 2026 delivered EUR 10.7B revenue (+6.1% FX-neutral) with comparable operating profit up 8.1% FX-neutral and diluted EPS rising 10.6% to EUR 2.20 [1]. FY2026 guidance reaffirmed at 3-4% revenue growth, ~7% operating profit growth, comparable FCF of at least EUR 1.7B, and a EUR 1B share buyback. ROE of 23.5% demonstrates efficient capital allocation, and exclusive bottling agreements across 31 countries serving 600M consumers create a durable competitive moat [4]. MSCI AA ESG rating and CDP A List for nine consecutive years attract ESG-focused capital [3]. At 18.4x forward earnings with a ~2.3% dividend yield growing at 18% CAGR over five years, CCEP offers an attractive total return profile for a defensive compounder.</w:t>
      </w:r>
    </w:p>
    <w:p>
      <w:pPr>
        <w:spacing w:after="120"/>
      </w:pPr>
      <w:r>
        <w:rPr>
          <w:rFonts w:ascii="Calibri" w:hAnsi="Calibri"/>
          <w:b w:val="0"/>
          <w:color w:val="3A4A28"/>
          <w:sz w:val="20"/>
        </w:rPr>
        <w:t>The bear case centers on low organic growth and structural margin constraints. FY2026 revenue guidance of 3-4% falls below the company's own midterm 7% target, suggesting consumer volume headwinds in mature European markets from health-conscious consumption trends, sugar taxes, and GLP-1 weight-loss drug adoption potentially reducing caloric beverage demand [1]. D/E of 139% reflects Amatil acquisition leverage constraining financial flexibility and increasing interest expense sensitivity. Profit margin of 9.35% is structurally limited by the bottling model's high raw material costs (sugar, PET plastic, aluminum) and energy-intensive manufacturing [4]. The PEG ratio of 2.79 suggests the stock may be fully valued relative to its modest growth trajectory. Currency risk is significant with operations across 31 countries and EUR-reported earnings but USD-priced shares. KnowTheChain scored CCEP 10/100 for forced labor supply chain practices, highlighting ethical supply chain risks despite strong headline ESG ratings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Operating profit growth of ~7% outpacing 3-4% revenue growth in FY2026, demonstrating continued margin expansion from Amatil integration synergies and AI-driven operational efficiency improvements [1]</w:t>
      </w:r>
    </w:p>
    <w:p>
      <w:pPr>
        <w:spacing w:before="40" w:after="40"/>
        <w:ind w:left="283"/>
      </w:pPr>
      <w:r>
        <w:rPr>
          <w:rFonts w:ascii="Calibri" w:hAnsi="Calibri"/>
          <w:b/>
          <w:color w:val="4A6B25"/>
          <w:sz w:val="20"/>
        </w:rPr>
        <w:t xml:space="preserve">2. </w:t>
      </w:r>
      <w:r>
        <w:rPr>
          <w:rFonts w:ascii="Calibri" w:hAnsi="Calibri"/>
          <w:b w:val="0"/>
          <w:color w:val="3A4A28"/>
          <w:sz w:val="20"/>
        </w:rPr>
        <w:t>EUR 1B share buyback program reducing share count and boosting per-share metrics on top of the ~2.3% dividend yield with 18% five-year dividend growth CAGR, providing compelling total shareholder return [1]</w:t>
      </w:r>
    </w:p>
    <w:p>
      <w:pPr>
        <w:spacing w:before="40" w:after="40"/>
        <w:ind w:left="283"/>
      </w:pPr>
      <w:r>
        <w:rPr>
          <w:rFonts w:ascii="Calibri" w:hAnsi="Calibri"/>
          <w:b/>
          <w:color w:val="4A6B25"/>
          <w:sz w:val="20"/>
        </w:rPr>
        <w:t xml:space="preserve">3. </w:t>
      </w:r>
      <w:r>
        <w:rPr>
          <w:rFonts w:ascii="Calibri" w:hAnsi="Calibri"/>
          <w:b w:val="0"/>
          <w:color w:val="3A4A28"/>
          <w:sz w:val="20"/>
        </w:rPr>
        <w:t>Asia-Pacific volume growth (5.4% FX-neutral in H1 2026) in Indonesia and Australia providing a higher-growth offset to mature European markets as CCEP captures rising per capita Coca-Cola consumption in emerging economies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Secular health-conscious consumer trends, sugar taxes expanding across European markets, and GLP-1 weight-loss drug adoption potentially reducing caloric beverage demand, with FY2026 revenue guidance of only 3-4% already below the midterm 7% target [1]</w:t>
      </w:r>
    </w:p>
    <w:p>
      <w:pPr>
        <w:spacing w:before="40" w:after="40"/>
        <w:ind w:left="283"/>
      </w:pPr>
      <w:r>
        <w:rPr>
          <w:rFonts w:ascii="Calibri" w:hAnsi="Calibri"/>
          <w:b/>
          <w:color w:val="4A6B25"/>
          <w:sz w:val="20"/>
        </w:rPr>
        <w:t xml:space="preserve">2. </w:t>
      </w:r>
      <w:r>
        <w:rPr>
          <w:rFonts w:ascii="Calibri" w:hAnsi="Calibri"/>
          <w:b w:val="0"/>
          <w:color w:val="3A4A28"/>
          <w:sz w:val="20"/>
        </w:rPr>
        <w:t>Raw material and energy cost inflation — sugar, PET plastic, aluminum, and energy prices directly compress the structurally thin 9.35% profit margin with limited pass-through ability to large retailers [4]</w:t>
      </w:r>
    </w:p>
    <w:p>
      <w:pPr>
        <w:spacing w:before="40" w:after="40"/>
        <w:ind w:left="283"/>
      </w:pPr>
      <w:r>
        <w:rPr>
          <w:rFonts w:ascii="Calibri" w:hAnsi="Calibri"/>
          <w:b/>
          <w:color w:val="4A6B25"/>
          <w:sz w:val="20"/>
        </w:rPr>
        <w:t xml:space="preserve">3. </w:t>
      </w:r>
      <w:r>
        <w:rPr>
          <w:rFonts w:ascii="Calibri" w:hAnsi="Calibri"/>
          <w:b w:val="0"/>
          <w:color w:val="3A4A28"/>
          <w:sz w:val="20"/>
        </w:rPr>
        <w:t>Currency translation risk across 31 countries with EUR-reported earnings and USD-priced stock creating earnings volatility, compounded by D/E of 139% increasing sensitivity to rising interest rates [4]</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Beverage bottling and distribution is a physical-world manufacturing and logistics operation that AI structurally cannot displace — producing, bottling, warehousing, and delivering billions of servings across 31 countries requires massive physical infrastructure including bottling plants, cold-chain logistics, and distribution fleets [1]. Exclusive bottling agreements with The Coca-Cola Company create contractual moats AI cannot circumvent. Consumer beverage demand is non-discretionary and AI-immune. Food safety regulatory requirements across 31 jurisdictions create additional barriers. The only theoretical AI risk is potential for AI-driven alternative distribution models, but physical infrastructure requirements make this implausible at CCEP's scale. AI Opportunity (0/1): CCEP deploys AI internally for procurement analytics (Resilinc cognitive risk sensing), sustainability monitoring (Osapiens), demand forecasting, and talent management, generating operational efficiency gains, but no quantifiable AI-driven revenue products have been reported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-1</w:t>
      </w:r>
      <w:r>
        <w:rPr>
          <w:rFonts w:ascii="Calibri" w:hAnsi="Calibri"/>
          <w:b/>
          <w:color w:val="B8860B"/>
          <w:sz w:val="20"/>
        </w:rPr>
        <w:t xml:space="preserve">    MIXED</w:t>
      </w:r>
    </w:p>
    <w:p>
      <w:pPr>
        <w:spacing w:before="80" w:after="40"/>
      </w:pPr>
      <w:r>
        <w:rPr>
          <w:rFonts w:ascii="Calibri" w:hAnsi="Calibri"/>
          <w:b/>
          <w:color w:val="6E8450"/>
          <w:sz w:val="18"/>
        </w:rPr>
        <w:t xml:space="preserve">Negative: </w:t>
      </w:r>
      <w:r>
        <w:rPr>
          <w:rFonts w:ascii="Calibri" w:hAnsi="Calibri"/>
          <w:b/>
          <w:color w:val="DC2626"/>
          <w:sz w:val="17"/>
        </w:rPr>
        <w:t xml:space="preserve"> Alcohol </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Coca-Cola Europacific Partners H1 2026 Results — Revenue EUR 10.7B (+6.1% FX-neutral), Comparable Operating Profit EUR 1.48B (+8.1% FX-neutral), Diluted EPS EUR 2.20 (+10.6%); Q1 2026 Europe Revenue +9.8%; FY2026 Guidance Reaffirmed: 3-4% Revenue Growth, ~7% OP Growth, EUR 1.7B+ FCF, EUR 1B Buyback, July 2026</w:t>
      </w:r>
    </w:p>
    <w:p>
      <w:pPr>
        <w:spacing w:before="20" w:after="20"/>
        <w:ind w:left="170"/>
      </w:pPr>
      <w:r>
        <w:rPr>
          <w:rFonts w:ascii="Calibri" w:hAnsi="Calibri"/>
          <w:b/>
          <w:color w:val="4A6B25"/>
          <w:sz w:val="15"/>
        </w:rPr>
        <w:t xml:space="preserve">2. </w:t>
      </w:r>
      <w:r>
        <w:rPr>
          <w:rFonts w:ascii="Calibri" w:hAnsi="Calibri"/>
          <w:b w:val="0"/>
          <w:color w:val="3A4A28"/>
          <w:sz w:val="17"/>
        </w:rPr>
        <w:t>CCEP AI Innovation and Culture — Resilinc AI Supply Chain, Osapiens Sustainability AI, AI-Powered Career Hub, CEO Damian Gammell (since 2016), Glassdoor 3.7/5, AI Magazine/UNLEASH/Glassdoor, accessed September 2026</w:t>
      </w:r>
    </w:p>
    <w:p>
      <w:pPr>
        <w:spacing w:before="20" w:after="20"/>
        <w:ind w:left="170"/>
      </w:pPr>
      <w:r>
        <w:rPr>
          <w:rFonts w:ascii="Calibri" w:hAnsi="Calibri"/>
          <w:b/>
          <w:color w:val="4A6B25"/>
          <w:sz w:val="15"/>
        </w:rPr>
        <w:t xml:space="preserve">3. </w:t>
      </w:r>
      <w:r>
        <w:rPr>
          <w:rFonts w:ascii="Calibri" w:hAnsi="Calibri"/>
          <w:b w:val="0"/>
          <w:color w:val="3A4A28"/>
          <w:sz w:val="17"/>
        </w:rPr>
        <w:t>CCEP ESG Profile — MSCI AA Rating, CDP Climate A List (9 consecutive years), FTSE4Good (10 years), SBTi-Approved Climate Targets, KnowTheChain Forced Labor Score 10/100, Sustainability Statement FY2024,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CCEP Financial Statistics — Yahoo Finance: Stock Price $104.67, Forward P/E 18.4, P/E 20.3, ROE 23.5%, D/E 139%, Profit Margin 9.35%, Avg Volume 1.82M,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