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CCJ</w:t>
      </w:r>
      <w:r>
        <w:rPr>
          <w:rFonts w:ascii="Calibri" w:hAnsi="Calibri"/>
          <w:b/>
          <w:color w:val="1A2010"/>
          <w:sz w:val="40"/>
        </w:rPr>
        <w:t xml:space="preserve">  Cameco Corporation</w:t>
      </w:r>
    </w:p>
    <w:p>
      <w:pPr>
        <w:spacing w:after="120"/>
      </w:pPr>
      <w:r>
        <w:rPr>
          <w:rFonts w:ascii="Calibri" w:hAnsi="Calibri"/>
          <w:b/>
          <w:color w:val="6E8450"/>
          <w:sz w:val="18"/>
        </w:rPr>
        <w:t>GROWTH SLEEVE · 2026-10-21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Canada</w:t>
      </w:r>
    </w:p>
    <w:p>
      <w:pPr>
        <w:spacing w:after="80"/>
      </w:pPr>
      <w:r>
        <w:rPr>
          <w:rFonts w:ascii="Calibri" w:hAnsi="Calibri"/>
          <w:b w:val="0"/>
          <w:color w:val="3A4A28"/>
          <w:sz w:val="20"/>
        </w:rPr>
        <w:t>Cameco is one of the world's largest uranium producers, providing uranium fuel for nuclear power reactors globally. The company operates through three segments — Uranium, Fuel Services, and Westinghouse Electric (40% stake) — with key mining assets at McArthur River/Key Lake and Cigar Lake in Saskatchewan. Listed on both NYSE and TSX, Cameco generated TTM revenue of approximately $2.6B with a 10.2% profit margin, benefiting from the global nuclear energy renaissance driven by AI data center power demand and net-zero commitments.</w:t>
      </w:r>
    </w:p>
    <w:p>
      <w:r>
        <w:rPr>
          <w:rFonts w:ascii="Calibri" w:hAnsi="Calibri"/>
          <w:b/>
          <w:color w:val="6E8450"/>
          <w:sz w:val="18"/>
        </w:rPr>
        <w:t>2,800 Employees · https://www.cameco.com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Cameco executed a pivotal strategic transformation by acquiring a 49% stake in Westinghouse Electric Company (completed 2023) through a joint venture with Brookfield, creating the only vertically integrated uranium mining-to-fuel-fabrication company globally [1]. The McArthur River restart after a 5-year voluntary curtailment demonstrated disciplined supply management. AI Deployment (1/2): Cameco deploys autonomous mining equipment and AI-driven ore body modeling at McArthur River, improving extraction efficiency and safety; digital twin technology aids mine planning, though AI remains an operational tool [1]. Market Share (2/2): Cameco controls approximately 18% of global uranium production and, combined with Westinghouse's fuel fabrication, touches roughly half the world's nuclear fleet through fuel assemblies and plant services [1]. Product Pipeline (1/2): Pipeline includes ramping McArthur River/Key Lake to full 18M lb/year capacity, expanding Westinghouse's AP1000 reactor services for new builds in Poland and other countries, and exploring HALEU fuel production for SMRs. R&amp;D Intensity (1/1): Investment in advanced fuel technologies and mining automation exceeds uranium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Cameco's purpose — energizing the world through clean nuclear energy — is specific, differentiating, and validated by decades of commitment through boom and bust, including voluntarily shuttering McArthur River during the uranium price downturn rather than destroying long-term value [1]. Community Impact (1/2): Cameco maintains industry-leading Indigenous partnerships in northern Saskatchewan, with $4B+ in northern procurement spending since 1991 and 50%+ Indigenous representation in its northern workforce [1]. Employee Retention (1/2): CEO Tim Gitzel has led Cameco since 2011 (15-year tenure), and the Saskatchewan workforce shows above-average retention, though specific turnover data is unavailable. Insider Buying (1/2): Limited net insider buying; executive transactions are primarily compensation-related plan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17.1% (score 1.0) reflects conservative leverage well below the 70% target [1]. ROE of 5.1% (score 0.34, 2x weight) is below the 15% target, partly reflecting Westinghouse acquisition dilution. Revenue declined 7.2% YoY (score 0.43) due to delivery timing. Profit margin of 10.2% (score 0.51) is moderate for mining. Forward P/E of 43.1 (score 0.42) reflects the nuclear renaissance premium. PEG of 1.92 (score 0.54, 2x weight) indicates moderate growth-adjusted valuation. Daily dollar volume of $250M provides ample liquidity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Cameco demonstrates strong infinite game characteristics through disciplined multi-decade commitment to nuclear energy through extreme market cycles, voluntarily curtailing production to protect long-term value rather than maximizing short-term output. The Westinghouse acquisition signals existential flexibility and a bet on nuclear's multi-generational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Cameco's purpose of powering the world through clean nuclear energy is genuinely distinctive and consistently pursued through 35+ years, including maintaining commitment through the post-Fukushima uranium bear market that bankrupted competitors [1]. Falls short of 3 because the purpose hasn't driven repeated transformative pivots at the scale of top-scoring companies.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Tim Gitzel's 15-year tenure provides leadership stability, and Cameco's northern Saskatchewan workforce culture emphasizes safety and Indigenous community integration [1]. Limited public data on employee engagement or voluntary turnover prevents scoring higher.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Cameco acknowledges Kazakhstan's Kazatomprom as a worthy rival whose low-cost production drives Cameco to innovate in mining technology, vertical integration, and customer relationships [1]. The Westinghouse acquisition was partly motivated by Kazakhstan's growing fuel fabrication ambitions.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Westinghouse acquisition represents a fundamental business model transformation — from pure-play uranium miner to vertically integrated nuclear energy company spanning mining, conversion, and fuel fabrication [1]. The voluntary McArthur River curtailment (2018-2022) demonstrated willingness to sacrifice near-term revenue to protect long-term positioning.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Cameco demonstrated genuine courage by voluntarily shuttering McArthur River for 5 years, sacrificing near-term profitability to drain excess inventory [1]. The $7.9B Westinghouse joint venture was a bold bet on nuclear's future. However, the company has been conservative on expansion spending relative to peers during the uranium boom.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Cameco at $80.51 is the premier pure-play on the nuclear energy renaissance, uniquely positioned as the only vertically integrated uranium miner and fuel fabricator through its Westinghouse stake. AI data center power requirements are driving nuclear as the baseload solution of choice, with Microsoft, Google, and Amazon all signing nuclear PPAs. Conservative D/E of 17% and 29-year dividend history provide downside protection while uranium contract prices of $60-80/lb drive earnings growth [1][2].</w:t>
      </w:r>
    </w:p>
    <w:p>
      <w:pPr>
        <w:spacing w:after="120"/>
      </w:pPr>
      <w:r>
        <w:rPr>
          <w:rFonts w:ascii="Calibri" w:hAnsi="Calibri"/>
          <w:b w:val="0"/>
          <w:color w:val="3A4A28"/>
          <w:sz w:val="20"/>
        </w:rPr>
        <w:t>The bear case centers on valuation and execution risk. At 43x forward earnings, Cameco prices in a sustained nuclear renaissance requiring significant new reactor builds to materialize — regulatory delays or a nuclear safety event could derail the thesis. Revenue declined 7.2% YoY due to delivery timing, highlighting lumpy contract fulfillment. ROE of 5.1% suggests the Westinghouse acquisition hasn't yet delivered on earnings potential. The uranium spot market remains volatile and subject to geopolitical disruption from Kazakhstan production decisions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nuclear demand accelerating — Microsoft TMI restart, Amazon Talen PPA, and Google Kairos SMR deal validate nuclear as AI infrastructure, driving long-term uranium contract pricing above $60/lb [1]</w:t>
      </w:r>
    </w:p>
    <w:p>
      <w:pPr>
        <w:spacing w:before="40" w:after="40"/>
        <w:ind w:left="283"/>
      </w:pPr>
      <w:r>
        <w:rPr>
          <w:rFonts w:ascii="Calibri" w:hAnsi="Calibri"/>
          <w:b/>
          <w:color w:val="4A6B25"/>
          <w:sz w:val="20"/>
        </w:rPr>
        <w:t xml:space="preserve">2. </w:t>
      </w:r>
      <w:r>
        <w:rPr>
          <w:rFonts w:ascii="Calibri" w:hAnsi="Calibri"/>
          <w:b w:val="0"/>
          <w:color w:val="3A4A28"/>
          <w:sz w:val="20"/>
        </w:rPr>
        <w:t>Westinghouse revenue synergies materializing — AP1000 new builds in Poland and elsewhere plus fuel assembly demand across half the world's reactor fleet create recurring revenue beyond commodity pricing [1]</w:t>
      </w:r>
    </w:p>
    <w:p>
      <w:pPr>
        <w:spacing w:before="40" w:after="40"/>
        <w:ind w:left="283"/>
      </w:pPr>
      <w:r>
        <w:rPr>
          <w:rFonts w:ascii="Calibri" w:hAnsi="Calibri"/>
          <w:b/>
          <w:color w:val="4A6B25"/>
          <w:sz w:val="20"/>
        </w:rPr>
        <w:t xml:space="preserve">3. </w:t>
      </w:r>
      <w:r>
        <w:rPr>
          <w:rFonts w:ascii="Calibri" w:hAnsi="Calibri"/>
          <w:b w:val="0"/>
          <w:color w:val="3A4A28"/>
          <w:sz w:val="20"/>
        </w:rPr>
        <w:t>McArthur River production ramp to full 18M lb/year capacity in a supply-constrained market where secondary supply sources are depleting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43x forward earnings prices in a nuclear renaissance that requires multi-year new reactor build commitments — regulatory delays or nuclear safety incident could deflate the thesis [1][2]</w:t>
      </w:r>
    </w:p>
    <w:p>
      <w:pPr>
        <w:spacing w:before="40" w:after="40"/>
        <w:ind w:left="283"/>
      </w:pPr>
      <w:r>
        <w:rPr>
          <w:rFonts w:ascii="Calibri" w:hAnsi="Calibri"/>
          <w:b/>
          <w:color w:val="4A6B25"/>
          <w:sz w:val="20"/>
        </w:rPr>
        <w:t xml:space="preserve">2. </w:t>
      </w:r>
      <w:r>
        <w:rPr>
          <w:rFonts w:ascii="Calibri" w:hAnsi="Calibri"/>
          <w:b w:val="0"/>
          <w:color w:val="3A4A28"/>
          <w:sz w:val="20"/>
        </w:rPr>
        <w:t>Westinghouse integration risk — $7.9B joint venture hasn't yet demonstrated ROE improvement, adding operational complexity to a mining company [1]</w:t>
      </w:r>
    </w:p>
    <w:p>
      <w:pPr>
        <w:spacing w:before="40" w:after="40"/>
        <w:ind w:left="283"/>
      </w:pPr>
      <w:r>
        <w:rPr>
          <w:rFonts w:ascii="Calibri" w:hAnsi="Calibri"/>
          <w:b/>
          <w:color w:val="4A6B25"/>
          <w:sz w:val="20"/>
        </w:rPr>
        <w:t xml:space="preserve">3. </w:t>
      </w:r>
      <w:r>
        <w:rPr>
          <w:rFonts w:ascii="Calibri" w:hAnsi="Calibri"/>
          <w:b w:val="0"/>
          <w:color w:val="3A4A28"/>
          <w:sz w:val="20"/>
        </w:rPr>
        <w:t>Revenue delivery timing creates quarterly volatility — 7.2% YoY decline shows how contract schedules obscure underlying demand trends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Uranium mining and nuclear fuel fabrication are physical-world operations that AI structurally cannot substitute [1]. Moreover, AI is a direct demand catalyst: hyperscale data center buildouts by Microsoft, Google, Amazon, and Meta drive unprecedented electricity demand, with nuclear emerging as the preferred 24/7 baseload solution. Microsoft's Three Mile Island restart deal, Amazon's Talen Energy PPA, and Google's Kairos Power SMR agreement validate nuclear as AI infrastructure. AI Opportunity (1/1): Cameco generates meaningful revenue from AI-driven nuclear demand — long-term uranium contracts at $60-80/lb (vs. $30/lb five years ago) are directly linked to data center power forecasts, and Westinghouse services revenue grows with each new build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Cameco Corporation 2025 Annual Report and Q2 2026 Earnings — financial data, operational metrics, Westinghouse integration updates, accessed October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CCJ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