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CDE</w:t>
      </w:r>
      <w:r>
        <w:rPr>
          <w:rFonts w:ascii="Calibri" w:hAnsi="Calibri"/>
          <w:b/>
          <w:color w:val="1A2010"/>
          <w:sz w:val="40"/>
        </w:rPr>
        <w:t xml:space="preserve">  Coeur Mining, Inc.</w:t>
      </w:r>
    </w:p>
    <w:p>
      <w:pPr>
        <w:spacing w:after="120"/>
      </w:pPr>
      <w:r>
        <w:rPr>
          <w:rFonts w:ascii="Calibri" w:hAnsi="Calibri"/>
          <w:b/>
          <w:color w:val="6E8450"/>
          <w:sz w:val="18"/>
        </w:rPr>
        <w:t>GROWTH SLEEVE · 2026-10-03 · Inspire: 57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NYSE · United States</w:t>
      </w:r>
    </w:p>
    <w:p>
      <w:pPr>
        <w:spacing w:after="80"/>
      </w:pPr>
      <w:r>
        <w:rPr>
          <w:rFonts w:ascii="Calibri" w:hAnsi="Calibri"/>
          <w:b w:val="0"/>
          <w:color w:val="3A4A28"/>
          <w:sz w:val="20"/>
        </w:rPr>
        <w:t>Coeur Mining is a precious metals producer with operations in the U.S., Canada and Mexico, expanded in March 2026 through the New Gold acquisition adding the New Afton and Rainy River mines. Q2 2026 revenue was a record $1.09B (+126% YoY, +27% QoQ) with net income of $121.9M and TTM revenue of $3.17B [1]. Market cap is about $18.2B.</w:t>
      </w:r>
    </w:p>
    <w:p>
      <w:r>
        <w:rPr>
          <w:rFonts w:ascii="Calibri" w:hAnsi="Calibri"/>
          <w:b/>
          <w:color w:val="6E8450"/>
          <w:sz w:val="18"/>
        </w:rPr>
        <w:t>https://www.coeur.com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Coeur closed the transformative New Gold acquisition on March 20, 2026, adding New Afton and Rainy River and lifting revenue from $2.07B in 2025 to a $3.17B TTM [1]. AI Deployment (0/2): no AI products or quantified savings found; industry AI use is broadly early-stage [2]. Market Share (1/2): a meaningful mid-tier North American precious metals producer, not a category leader by cited share data. Pipeline (1/2): ramping acquired mines and Rochester expansion are named, without detailed dated revenue visibility [1]. R&amp;D (0/1): exploration spend only, no differentiating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Coeur's purpose is producing precious metals responsibly, a generic mining-sector statement [2]. Community Impact (1/2): the 2025 Responsibility Report covers water stewardship, tailings, and community and Indigenous engagement, but no distinctive dollar-quantified program was found [3]. Employee Retention (1/2): CEO Mitch Krebs has led since July 2011 (15+ years), indicating leadership continuity, though no turnover data exists [2]. Insider Buying (0/2): no net insider buying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liquidity passed (34.2M shares x $17.66 = ~$604M daily). D/E of 6.9% scores 1.0; ROE of 12.8% scores 0.86 (2x); revenue growth of 125.9% YoY scores 1.0; 5-year revenue CAGR (~26%) scores 1.0 (2x); forward P/E of 8.9 scores 1.0; profit margin of 26.8% scores 1.0. PEG unavailable and excluded. Weighted 7.71 of 8 gives 9.6, rounded to 10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Coeur is a well-run operator with long CEO continuity, but a commodity producer's purpose is production, not a Just Cause. The New Gold acquisition shows capital-allocation boldness, though employee feedback cites short-term focus and disorganization.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responsible precious metals production reads as an industry purpose and does not shape distinctive strategy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continuity since 2011 and stable leadership, offset by reviews citing a short-term focus and unclear direction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competitive language centers on production growth and cost; no rival-learning evidence found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evolved from a silver-centric Mexico and U.S. portfolio into a gold-heavy, multi-country producer, incremental rather than a reinvention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New Gold deal was a large, costly strategic bet that doubled the company's scale, a long-term capacity move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Coeur at $17.66 trades at 8.9x forward earnings after a step change in scale: Q2 2026 revenue hit a record $1.09B (+126% YoY), TTM revenue is $3.17B versus $2.07B in 2025 and $1.05B in 2024, and net income was $121.9M [1]. D/E is just 6.9%, profit margin 26.8%, and the New Gold assets (New Afton, Rainy River) add diversified, lower-risk jurisdictions [1].</w:t>
      </w:r>
    </w:p>
    <w:p>
      <w:pPr>
        <w:spacing w:after="120"/>
      </w:pPr>
      <w:r>
        <w:rPr>
          <w:rFonts w:ascii="Calibri" w:hAnsi="Calibri"/>
          <w:b w:val="0"/>
          <w:color w:val="3A4A28"/>
          <w:sz w:val="20"/>
        </w:rPr>
        <w:t>Earnings are driven by metal prices: much of the revenue surge reflects higher gold and silver, and Q1 2026 EPS missed estimates despite revenue beats, with Q2 diluted EPS of only $0.12 [1]. ROE of 12.8% is modest, integration of New Gold adds execution risk, and the stock trades below its 50-day average ($17.66 vs $18.92). Seeking Alpha commentary argues the easy money may be gone, and employees cite short-term focus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Full-quarter contribution from New Afton and Rainy River, closed March 20, 2026, lifting production and revenue beyond Q2's record $1.09B [1]</w:t>
      </w:r>
    </w:p>
    <w:p>
      <w:pPr>
        <w:spacing w:before="40" w:after="40"/>
        <w:ind w:left="283"/>
      </w:pPr>
      <w:r>
        <w:rPr>
          <w:rFonts w:ascii="Calibri" w:hAnsi="Calibri"/>
          <w:b/>
          <w:color w:val="4A6B25"/>
          <w:sz w:val="20"/>
        </w:rPr>
        <w:t xml:space="preserve">2. </w:t>
      </w:r>
      <w:r>
        <w:rPr>
          <w:rFonts w:ascii="Calibri" w:hAnsi="Calibri"/>
          <w:b w:val="0"/>
          <w:color w:val="3A4A28"/>
          <w:sz w:val="20"/>
        </w:rPr>
        <w:t>Sustained high gold and silver prices expanding margins on a 6.9% D/E balance sheet [1]</w:t>
      </w:r>
    </w:p>
    <w:p>
      <w:pPr>
        <w:spacing w:before="40" w:after="40"/>
        <w:ind w:left="283"/>
      </w:pPr>
      <w:r>
        <w:rPr>
          <w:rFonts w:ascii="Calibri" w:hAnsi="Calibri"/>
          <w:b/>
          <w:color w:val="4A6B25"/>
          <w:sz w:val="20"/>
        </w:rPr>
        <w:t xml:space="preserve">3. </w:t>
      </w:r>
      <w:r>
        <w:rPr>
          <w:rFonts w:ascii="Calibri" w:hAnsi="Calibri"/>
          <w:b w:val="0"/>
          <w:color w:val="3A4A28"/>
          <w:sz w:val="20"/>
        </w:rPr>
        <w:t>Deleveraged balance sheet enabling further M&amp;A, exploration or capital returns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Metal-price reversal: revenue grew 126% largely on price, so a decline would sharply compress the $121.9M quarterly profit [1]</w:t>
      </w:r>
    </w:p>
    <w:p>
      <w:pPr>
        <w:spacing w:before="40" w:after="40"/>
        <w:ind w:left="283"/>
      </w:pPr>
      <w:r>
        <w:rPr>
          <w:rFonts w:ascii="Calibri" w:hAnsi="Calibri"/>
          <w:b/>
          <w:color w:val="4A6B25"/>
          <w:sz w:val="20"/>
        </w:rPr>
        <w:t xml:space="preserve">2. </w:t>
      </w:r>
      <w:r>
        <w:rPr>
          <w:rFonts w:ascii="Calibri" w:hAnsi="Calibri"/>
          <w:b w:val="0"/>
          <w:color w:val="3A4A28"/>
          <w:sz w:val="20"/>
        </w:rPr>
        <w:t>Integration and execution risk on the New Gold acquisition across Canadian and Mexican/U.S. operations [1]</w:t>
      </w:r>
    </w:p>
    <w:p>
      <w:pPr>
        <w:spacing w:before="40" w:after="40"/>
        <w:ind w:left="283"/>
      </w:pPr>
      <w:r>
        <w:rPr>
          <w:rFonts w:ascii="Calibri" w:hAnsi="Calibri"/>
          <w:b/>
          <w:color w:val="4A6B25"/>
          <w:sz w:val="20"/>
        </w:rPr>
        <w:t xml:space="preserve">3. </w:t>
      </w:r>
      <w:r>
        <w:rPr>
          <w:rFonts w:ascii="Calibri" w:hAnsi="Calibri"/>
          <w:b w:val="0"/>
          <w:color w:val="3A4A28"/>
          <w:sz w:val="20"/>
        </w:rPr>
        <w:t>Operational and permitting risks (tailings, water, community and Indigenous relations) at multiple mines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and silver mining is physical extraction of a commodity priced globally; AI cannot replace production, and miners are adopting AI as an operating tool rather than facing substitution [2]. Residual exposure is metal-price volatility and talent competition, not AI. AI Opportunity (0/1): no AI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Coeur Reports Second Quarter 2026 Results and 10-Q, SEC EDGAR / Coeur IR / TradingView, July-August 2026</w:t>
      </w:r>
    </w:p>
    <w:p>
      <w:pPr>
        <w:spacing w:before="20" w:after="20"/>
        <w:ind w:left="170"/>
      </w:pPr>
      <w:r>
        <w:rPr>
          <w:rFonts w:ascii="Calibri" w:hAnsi="Calibri"/>
          <w:b/>
          <w:color w:val="4A6B25"/>
          <w:sz w:val="15"/>
        </w:rPr>
        <w:t xml:space="preserve">2. </w:t>
      </w:r>
      <w:r>
        <w:rPr>
          <w:rFonts w:ascii="Calibri" w:hAnsi="Calibri"/>
          <w:b w:val="0"/>
          <w:color w:val="3A4A28"/>
          <w:sz w:val="17"/>
        </w:rPr>
        <w:t>Coeur leadership and AI context - Glassdoor, Simply Wall St, S&amp;P Global, Seeking Alpha, 2026</w:t>
      </w:r>
    </w:p>
    <w:p>
      <w:pPr>
        <w:spacing w:before="20" w:after="20"/>
        <w:ind w:left="170"/>
      </w:pPr>
      <w:r>
        <w:rPr>
          <w:rFonts w:ascii="Calibri" w:hAnsi="Calibri"/>
          <w:b/>
          <w:color w:val="4A6B25"/>
          <w:sz w:val="15"/>
        </w:rPr>
        <w:t xml:space="preserve">3. </w:t>
      </w:r>
      <w:r>
        <w:rPr>
          <w:rFonts w:ascii="Calibri" w:hAnsi="Calibri"/>
          <w:b w:val="0"/>
          <w:color w:val="3A4A28"/>
          <w:sz w:val="17"/>
        </w:rPr>
        <w:t>Coeur 2025 Responsibility (ESG) Report coverage - Yahoo Finance,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