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CDNL</w:t>
      </w:r>
      <w:r>
        <w:rPr>
          <w:rFonts w:ascii="Calibri" w:hAnsi="Calibri"/>
          <w:b/>
          <w:color w:val="1A2010"/>
          <w:sz w:val="40"/>
        </w:rPr>
        <w:t xml:space="preserve">  Cardinal Infrastructure Group Inc.</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NMS · United States</w:t>
      </w:r>
    </w:p>
    <w:p>
      <w:pPr>
        <w:spacing w:after="80"/>
      </w:pPr>
      <w:r>
        <w:rPr>
          <w:rFonts w:ascii="Calibri" w:hAnsi="Calibri"/>
          <w:b w:val="0"/>
          <w:color w:val="3A4A28"/>
          <w:sz w:val="20"/>
        </w:rPr>
        <w:t>Cardinal Infrastructure Group Inc. (formerly Civil Infrastructure Group Inc.) is a full-service civil contracting company providing site development and infrastructure services across the southeastern United States. Services include wet utility installations (water, sewer, stormwater), grading, site clearing, erosion control, drilling/blasting, paving, and related services. Founded in 2013 by CEO Jeremy Spivey, headquartered in Raleigh, NC, and IPO'd December 2025. Q2 2026 revenue surged 114% YoY to a record $226.9M with backlog of $866M (+35%), though adjusted EBITDA margin compressed to 12.4% from 18.6% YoY, triggering a 36%+ single-day stock decline and securities investigations [1][4].</w:t>
      </w:r>
    </w:p>
    <w:p>
      <w:r>
        <w:rPr>
          <w:rFonts w:ascii="Calibri" w:hAnsi="Calibri"/>
          <w:b/>
          <w:color w:val="6E8450"/>
          <w:sz w:val="18"/>
        </w:rPr>
        <w:t>1,480 Employees · https://cardinalinfrastructuregroup.com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Cardinal has executed a rapid growth-through-acquisition strategy, including the ALGC acquisition in 2025 and Allied Paving acquisition in 2026 (adding $108M annual revenue at 20.3% adjusted EBITDA margin), alongside strong organic growth of approximately 56-64% [1]. The company transformed from a regional NC civil contractor into a multi-state southeastern infrastructure platform, rebranding from Civil Infrastructure Group in September 2025. Revenue grew at a 44% CAGR from 2021-2025 with three acquisitions completed in 2026 alone [3]. AI Deployment (0/2): No evidence of AI-powered products or AI-driven cost savings. Civil construction operations rely on skilled labor, heavy equipment, and field execution rather than technology platforms. Market Share (2/2): Cardinal is positioned as one of the Southeast's fastest-growing full-service infrastructure service providers, gaining share rapidly through both organic growth (~56% in Q2) and strategic acquisitions in a highly fragmented market [1][2]. The $880-900M revenue guidance represents dominant-and-growing positioning in southeastern civil infrastructure. Product Pipeline (1/2): Record backlog of $866M (+35% YoY) provides strong revenue visibility through 2027 [1]. However, the Q2 2026 margin miss and reduced guidance raise questions about execution quality on the backlog. R&amp;D Intensity (0/1): Civil construction does not involve traditional R&amp;D. Competitive advantage comes from self-performing execution capability, equipment fleet management, and M&amp;A integration.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Cardinal describes itself as delivering integrated civil and site-development solutions through a self-performing model [2]. This is a generic operational description interchangeable with any civil contractor — it identifies what the company does but not why it exists beyond commercial growth. Community Impact (0/2): No evidence of charitable programs, community foundation, or distinctive community investment. The company builds essential public infrastructure (water, sewer, roads) which serves communities, but Cardinal does not frame this as its purpose. Employee Retention (1/2): CEO Jeremy Spivey has led the company since founding in 2013 (13-year tenure), and the company emphasizes a safety culture as the foundation for everything else it does, with investment in team development cited in growth, retention, and performance [2]. Key leadership appointments (regional presidents, COO) suggest deliberate organizational building. However, no specific retention metrics are publicly available. Insider Buying (1/2): COO Benjamin Wood purchased 20,000 shares for $1.03M in May 2026, and Director Ivy Zelman purchased $251K in shares in March 2026 — meaningful open-market purchases showing conviction [3]. However, these purchases were at significantly higher prices ($39-52 range) before the Q2 earnings collapse.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Cardinal's financial profile shows extraordinary revenue growth offset by thin margins. D/E of 38.4% is well below the 70% target (score 1.0) [3]. ROE of 11.9% is below the 15% target (score 0.79, 2x weight), acceptable for a construction company in rapid growth mode. Revenue growth YoY of 114% massively exceeds the 10% target (score 1.0), and the estimated 5yr revenue CAGR of approximately 44% also scores at maximum (score 1.0, 2x weight) [1]. Forward P/E of 6.50 has compressed dramatically from 23.92x after the stock's 77% decline from its June high — now deeply below the 20 target (score 1.0). The primary drag is profit margin of 2.74%, well below the 20% target (score 0.14), reflecting structurally thin margins in civil contracting exacerbated by Q2 2026 subcontractor cost overruns [1][3]. PEG unavailable and excluded. Liquidity cleared at $15.5M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Cardinal Infrastructure is a founder-led company with 13 years of history and exceptional growth, but it operates as a high-execution acquisition platform rather than a purpose-driven organization. The aggressive M&amp;A strategy (three acquisitions in 2026 alone) and rapid scaling reflect ambition to build the dominant Southeast infrastructure platform, but the Q2 2026 margin collapse, EPS miss, and securities investigation raise questions about whether growth is being pursued sustainably [4]. The competitive posture is about winning market share rather than building to endure across generations.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Cardinal's purpose is operational — building infrastructure and growing revenue in southeastern markets. There is no articulated vision of a future state that inspires sacrifice [2]. The company exists to grow, execute contracts, and consolidate a fragmented market. While the work itself (water, sewer, roads) serves communities, Cardinal frames its mission in commercial terms — being 'the fastest-growing' rather than serving a higher purpose. This is a financially motivated platform strategy,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Spivey emphasizes a safety culture as the foundation for everything the company does and cites acquired teams' culture alignment as a key acquisition criterion [2]. The appointment of regional presidents and COO suggests delegation and empowerment. However, the company has grown from a local NC contractor to a multi-state platform with 1,480 employees extremely rapidly through acquisitions, and integrating diverse construction workforces across multiple states is inherently challenging. No specific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Cardinal's competitive language focuses on being 'one of the Southeast's fastest-growing' infrastructure providers and gaining market share through acquisitions [1][2]. This is a finite competitive mindset — the goal is to grow bigger and faster than peers. No evidence of management acknowledging competitors' strengths or framing competition as motivation to improve rather than a race to win.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Cardinal is 13 years old and has been on a continuous growth trajectory in a strong southeastern infrastructure market [1]. The business model has remained consistent: civil contracting and site development. The rebranding from Civil Infrastructure Group to Cardinal Infrastructure Group in September 2025 was cosmetic, and the vertical integration through paving acquisition was incremental extension rather than transformative pivot. No evidence of pivoting away from core business or making painful strategic shifts.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Jeremy Spivey's decision to take the company public in December 2025 and pursue aggressive M&amp;A while maintaining a self-performing model shows willingness to invest in long-term capability [1][2]. The Allied Paving acquisition at 5.5x EBITDA demonstrates disciplined capital allocation. However, the Q2 2026 earnings debacle (EPS $0.26 vs $0.48 consensus) and reduced margin guidance from 20%+ to 16-18% suggest growth outpaced execution capability [4]. Whether this was a temporary growing pain or fundamental overextension will determine if the courage was prudent.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Cardinal Infrastructure at $21 with a $454M market cap is trading at just 6.5x forward earnings after a 77% decline from its June 2026 high of $94.31 — a potentially dramatic overreaction to Q2 margin compression that may represent the best risk/reward in southeastern infrastructure [1]. Revenue surged 114% YoY to a record $226.9M in Q2 with organic growth of approximately 56%, and full-year guidance was raised to $880-900M [1]. Record backlog of $866M (+35% YoY) provides approximately 3.9 quarters of revenue visibility. The Allied Paving acquisition adds $108M revenue at 20.3% EBITDA margins, accretive to the blended portfolio. D/E of 38.4% is conservative, AI resilience is near-maximum (civil construction cannot be automated), and insider purchases totaling $1.3M+ by COO Wood and Director Zelman preceded the Q2 decline [3]. If management executes on the 16-18% margin target for H2 2026, the stock at 6.5x forward earnings could rerate significantly.</w:t>
      </w:r>
    </w:p>
    <w:p>
      <w:pPr>
        <w:spacing w:after="120"/>
      </w:pPr>
      <w:r>
        <w:rPr>
          <w:rFonts w:ascii="Calibri" w:hAnsi="Calibri"/>
          <w:b w:val="0"/>
          <w:color w:val="3A4A28"/>
          <w:sz w:val="20"/>
        </w:rPr>
        <w:t>The bear case is acute and centers on execution credibility. The Q2 2026 EPS of $0.26 missed consensus by 46% ($0.48 expected), adjusted EBITDA margin collapsed from 18.6% to 12.4%, and full-year margin guidance was slashed from 20%+ to 16-18%, attributed to subcontractor labor and equipment rental costs in developing markets [1][4]. Multiple law firms have initiated securities investigations into whether Cardinal misled investors about the performance of acquired businesses and cost pressures at the time it was emphasizing backlog growth [4]. GAAP profit margin of 2.74% reflects structurally thin margins in civil construction where any execution misstep compresses margins toward breakeven [3]. The company is less than 10 months past its IPO, has completed three acquisitions in 2026 creating significant integration risk, and the 77% stock decline has destroyed insider purchase value. The stock's 50-day SMA of $36.59 sits 74% above the current price, suggesting severe negative momentum. The Inspire Impact Score of 0 (MIXED) with no attributions provides no faith-alignment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6.5x on $880-900M revenue guidance with record backlog of $866M — if H2 2026 margin recovery materializes toward the 16-18% target, the 77% stock decline from peak would represent a massive overreaction to temporary growing pains [1]</w:t>
      </w:r>
    </w:p>
    <w:p>
      <w:pPr>
        <w:spacing w:before="40" w:after="40"/>
        <w:ind w:left="283"/>
      </w:pPr>
      <w:r>
        <w:rPr>
          <w:rFonts w:ascii="Calibri" w:hAnsi="Calibri"/>
          <w:b/>
          <w:color w:val="4A6B25"/>
          <w:sz w:val="20"/>
        </w:rPr>
        <w:t xml:space="preserve">2. </w:t>
      </w:r>
      <w:r>
        <w:rPr>
          <w:rFonts w:ascii="Calibri" w:hAnsi="Calibri"/>
          <w:b w:val="0"/>
          <w:color w:val="3A4A28"/>
          <w:sz w:val="20"/>
        </w:rPr>
        <w:t>Allied Paving acquisition adds $108M revenue at 20.3% EBITDA margins, accretive to Cardinal's blended profile — integration of higher-margin paving services supports margin recovery narrative as subcontractor cost pressures are managed [1]</w:t>
      </w:r>
    </w:p>
    <w:p>
      <w:pPr>
        <w:spacing w:before="40" w:after="40"/>
        <w:ind w:left="283"/>
      </w:pPr>
      <w:r>
        <w:rPr>
          <w:rFonts w:ascii="Calibri" w:hAnsi="Calibri"/>
          <w:b/>
          <w:color w:val="4A6B25"/>
          <w:sz w:val="20"/>
        </w:rPr>
        <w:t xml:space="preserve">3. </w:t>
      </w:r>
      <w:r>
        <w:rPr>
          <w:rFonts w:ascii="Calibri" w:hAnsi="Calibri"/>
          <w:b w:val="0"/>
          <w:color w:val="3A4A28"/>
          <w:sz w:val="20"/>
        </w:rPr>
        <w:t>Southeastern US infrastructure demand remains robust with backlog up 35% YoY, driven by residential, commercial, DOT, and municipal volumes — structural demand tailwinds from population migration, data center construction, and infrastructure investment support multi-year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investigation by multiple law firms following Q2 2026 EPS miss of 46% and margin guidance collapse — potential findings regarding disclosure adequacy on cost pressures and acquired business performance create legal, financial, and reputational risk [4]</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compressed from 18.6% to 12.4% in Q2 due to subcontractor costs in developing markets — GAAP profit margin of 2.74% leaves near-zero margin of safety, and any further execution misstep on the $866M backlog could push margins toward breakeven [1][3]</w:t>
      </w:r>
    </w:p>
    <w:p>
      <w:pPr>
        <w:spacing w:before="40" w:after="40"/>
        <w:ind w:left="283"/>
      </w:pPr>
      <w:r>
        <w:rPr>
          <w:rFonts w:ascii="Calibri" w:hAnsi="Calibri"/>
          <w:b/>
          <w:color w:val="4A6B25"/>
          <w:sz w:val="20"/>
        </w:rPr>
        <w:t xml:space="preserve">3. </w:t>
      </w:r>
      <w:r>
        <w:rPr>
          <w:rFonts w:ascii="Calibri" w:hAnsi="Calibri"/>
          <w:b w:val="0"/>
          <w:color w:val="3A4A28"/>
          <w:sz w:val="20"/>
        </w:rPr>
        <w:t>Company is less than 10 months post-IPO with three acquisitions in 2026, creating acute integration risk as diverse construction workforces across multiple southeastern states are consolidated under a rapidly expanding management 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Civil contracting — installing water/sewer/stormwater systems, grading, site clearing, drilling/blasting, paving — is among the most AI-immune business models in the economy [1]. Every revenue dollar requires physical crews, heavy equipment, dirt, and concrete at specific locations. AI cannot grade a construction site, install underground utilities, or blast rock formations. The work is deeply regulated by state and municipal codes, requires on-site inspections, and involves site-specific conditions that resist automation. Cardinal's self-performing model with specialized equipment fleets and 1,480 employees makes it structurally impossible for software to substitute. AI data center construction actually increases demand for the site preparation and utility infrastructure services Cardinal provides. AI Opportunity (0/1): Cardinal does not generate AI-related revenue. The company uses standard construction management technology but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Cardinal Infrastructure Group Q2 2026 Earnings Release — Revenue $226.9M (+114% YoY, ~56% organic), record backlog $866M (+35%), Adj EBITDA $28.1M (12.4% margin), Allied Paving acquisition, full-year guidance raised to $880-900M, August 2026</w:t>
      </w:r>
    </w:p>
    <w:p>
      <w:pPr>
        <w:spacing w:before="20" w:after="20"/>
        <w:ind w:left="170"/>
      </w:pPr>
      <w:r>
        <w:rPr>
          <w:rFonts w:ascii="Calibri" w:hAnsi="Calibri"/>
          <w:b/>
          <w:color w:val="4A6B25"/>
          <w:sz w:val="15"/>
        </w:rPr>
        <w:t xml:space="preserve">2. </w:t>
      </w:r>
      <w:r>
        <w:rPr>
          <w:rFonts w:ascii="Calibri" w:hAnsi="Calibri"/>
          <w:b w:val="0"/>
          <w:color w:val="3A4A28"/>
          <w:sz w:val="17"/>
        </w:rPr>
        <w:t>Cardinal Infrastructure Group Company Website and Leadership — CEO Jeremy Spivey (founder, 13-year tenure), safety culture, self-performing model, 1,480 employees, Raleigh NC,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CDNL Key Statistics: Price $21.00, D/E 38.4%, ROE 11.9%, Profit Margin 2.74%, Forward PE 6.50, Market Cap $454M, Avg Volume 737K,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Securities Investigations — Holzer &amp; Holzer LLC, Block &amp; Leviton investigate Cardinal Infrastructure Group following Q2 2026 EPS miss ($0.26 vs $0.48 consensus), margin guidance reduction, stock declined 36%+ in single session,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