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CDNS</w:t>
      </w:r>
      <w:r>
        <w:rPr>
          <w:rFonts w:ascii="Calibri" w:hAnsi="Calibri"/>
          <w:b/>
          <w:color w:val="1A2010"/>
          <w:sz w:val="40"/>
        </w:rPr>
        <w:t xml:space="preserve">  Cadence Design Systems, Inc.</w:t>
      </w:r>
    </w:p>
    <w:p>
      <w:pPr>
        <w:spacing w:after="120"/>
      </w:pPr>
      <w:r>
        <w:rPr>
          <w:rFonts w:ascii="Calibri" w:hAnsi="Calibri"/>
          <w:b/>
          <w:color w:val="6E8450"/>
          <w:sz w:val="18"/>
        </w:rPr>
        <w:t>GROWTH SLEEVE · 2026-09-07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Design Automation · NASDAQ · United States</w:t>
      </w:r>
    </w:p>
    <w:p>
      <w:pPr>
        <w:spacing w:after="80"/>
      </w:pPr>
      <w:r>
        <w:rPr>
          <w:rFonts w:ascii="Calibri" w:hAnsi="Calibri"/>
          <w:b w:val="0"/>
          <w:color w:val="3A4A28"/>
          <w:sz w:val="20"/>
        </w:rPr>
        <w:t>Cadence Design Systems is the category leader in electronic design automation (EDA) software, providing computational tools essential for designing semiconductors, printed circuit boards, and complex electronic systems. The company operates across four segments: EDA software, IP licensing, system design and analysis, and AI-driven solutions. Q2 2026 revenue reached $1.584B (+24% YoY) with record backlog of $8.1B. Full-year 2026 guidance was raised to $6.26-$6.34B (18-20% growth). All product groups achieved double-digit YoY growth with IP business up 40%+. Market cap ~$80.6B.</w:t>
      </w:r>
    </w:p>
    <w:p>
      <w:r>
        <w:rPr>
          <w:rFonts w:ascii="Calibri" w:hAnsi="Calibri"/>
          <w:b/>
          <w:color w:val="6E8450"/>
          <w:sz w:val="18"/>
        </w:rPr>
        <w:t>13,800 Employees · https://www.cadence.com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Cadence has executed a transformative multi-year pivot from a legacy EDA tools vendor into an 'Intelligent System Design' platform company under CEO Anirudh Devgan (CEO since 2021). The company has successfully expanded from chip design tools into system-level analysis, IP licensing, and AI-powered design automation, fundamentally broadening its addressable market [1]. The Cadence.AI platform represents a category-defining innovation — the company demonstrated that its AI tool made 5 weeks of chip design work obsolete, a step-change in productivity [2]. Revenue grew from $2.68B (2020) to $5.30B (2025), nearly doubling organically. AI Deployment (2/2): Cadence is both building AI into its products and using AI to design chips that power AI — a dual flywheel. The Cadence.AI platform ships AI-driven design optimization to customers, and the company reports that AI-driven solutions were a meaningful contributor to the record $8.1B backlog [1]. CEO Devgan has positioned AI as the primary growth driver, with AI accelerating chip design cycles and expanding the company's TAM. Market Share (2/2): Cadence is one of only two companies (with Synopsys) that dominate the EDA duopoly — together they control ~70% of the global EDA market. CEO Devgan stated Cadence is 'an irreplaceable part of the semiconductor industry' because designing advanced chips requires precise physics and math that cannot be commoditized [2]. Strategic partnerships with Intel, Samsung, and Rapidus validate the company's position at the cutting edge of chip design. Product Pipeline (1/2): The Intelligent System Design strategy provides a clear product roadmap, and recurring revenue at 78% of total revenue provides visibility. However, specific next-generation product names with defined launch dates are not publicly disclosed beyond the current AI platform expansion. R&amp;D Intensity (1/1): Cadence invests heavily in R&amp;D at levels well above the software industry average, supporting its position at the frontier of computational design and AI integration.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Cadence's purpose — to be the engine behind the innovations that transform the way people live, work, and play — is specific, thoughtful, and clearly connects the company's design tools to the broader impact of the semiconductor industry [3]. Under CEO Devgan, the 'Intelligent System Design' strategy has become a genuine organizing principle that shapes product development, partnerships, and talent investment. The mission differentiates Cadence from generic enterprise software companies by anchoring to the purpose of enabling innovation across every industry that depends on semiconductors. Community Impact (1/2): Cadence joined the Pledge 1% Alliance, committing 1% of employee time, technology, and net profit to community benefit [3]. The company has been recognized on IBD's Top 100 ESG list and Newsweek's Most Responsible Companies list. Cadence set greenhouse gas reduction targets of 15% by 2025 and publishes detailed ESG reports. These are meaningful but standard for a large-cap tech company. Employee Retention (2/2): Cadence has earned consistent recognition as a top employer — the company's culture is widely cited as a competitive advantage in recruiting and retaining top EDA engineers, a scarce talent pool. CEO Devgan has held key leadership roles at Cadence for over 15 years before becoming CEO, reflecting deep institutional continuity. Most managers are ex-engineers aligned with technical strategy, creating mission-culture alignment [2]. Insider Buying (1/2): Insiders have been net sellers with ~$30M in sales over the past 12 months through options exercises, which is typical for a high-performing tech company. No meaningful net insider buying was identified, though stock-based compensation creates ongoing alignment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Cadence demonstrates exceptional financial quality across most dimensions: D/E of 39% is well below the 70% target (score 1.0), ROE of 23.23% exceeds the 15% target (score 1.0), profit margin of 23.61% exceeds the 20% target (score 1.0), and revenue growth of ~20% YoY with a 14.6% five-year CAGR both exceed the 10% target (score 1.0 each) [1]. The primary drags are the premium valuation: Forward P/E of 34.10 scores 0.65 against the 20x target, and the PEG ratio of 2.26 scores only 0.37 (2x weight), reflecting the market's high expectations for sustained growth. The stock's 52-week decline of 15.73% suggests some valuation compression has already occurred. Daily trading volume of ~2.24M shares at $292.70 provides ~$657M in daily dollar volume, easily clearing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Cadence is a strong infinite game player — the company has maintained a consistent purpose of enabling innovation through computational design for over three decades, surviving multiple semiconductor cycles, technology transitions, and competitive threats. Under CEO Devgan, the Intelligent System Design strategy extends this purpose into AI-powered system-level design while maintaining the core EDA franchise. The multi-decade institutional knowledge embedded in Cadence's engineering teams and customer relationships creates a durable competitive position that reflects playing to keep playing rather than playing to win this quarter.</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Cadence's purpose — enabling the innovations that transform how people live, work, and play through computational design — has been validated by decades of consistent execution through multiple semiconductor cycles [2]. The company has held the same core mission since its founding, and the 'Intelligent System Design' strategy under Devgan extends rather than replaces this purpose. The EDA duopoly position was built through sustained R&amp;D investment over 30+ years, and the purpose IS the competitive advantage — customers depend on Cadence because the company has invested decades in building irreplaceable design capabilities [1]. This is a rare case where a Just Cause has survived leadership transitions and market disruptions while remaining the strategic anchor.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Cadence maintains a stable, technically-oriented workforce of 13,800 employees with strong leadership continuity — CEO Devgan served in key roles for 15+ years before becoming CEO, and most managers are ex-engineers aligned with the technical mission [2]. The company's consistent recognition as a top employer and the scarcity of EDA engineering talent suggest above-average retention. However, Devgan has noted that his biggest worry about AI adoption is the disconnect between enthusiastic executives and skeptical employees, suggesting some cultural friction in the AI transformation [2]. No specific employee tenure or voluntary turnover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Cadence operates in an EDA duopoly with Synopsys and acknowledges the competitive dynamic as motivation for innovation rather than a war to win. CEO Devgan's commentary frames competitive pressure around building better tools and serving customers, not destroying Synopsys. The company's strategic response to being 'left behind by the AI boom' was to deepen AI integration in its products rather than attack competitors' positioning — a self-improvement orientation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Cadence has meaningfully evolved from a narrow EDA tools vendor into a broader Intelligent System Design platform, expanding into system analysis, IP licensing, and AI-driven design automation [1]. This represents a genuine strategic evolution that broadened the company's addressable market. However, the core EDA franchise has remained intact throughout — Cadence has not abandoned a working business model in service of its cause. The evolution has been incremental expansion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Cadence has demonstrated a pattern of investing heavily in long-term capabilities even when short-term costs are real. The AI investment — building the Cadence.AI platform and demonstrating it could make 5 weeks of chip design work obsolete — required significant R&amp;D commitment with uncertain near-term returns [2]. The company maintained high R&amp;D spending through semiconductor downturns, and Devgan's public stance that Cadence is 'irreplaceable' while the stock fell 15% over 52 weeks reflects confidence in the long-term thesis over short-term market sentiment. The expansion into system-level design and IP licensing required years of investment before meaningful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Cadence at 34x forward earnings is a premium compounder with structural tailwinds — Q2 2026 revenue of $1.584B (+24% YoY) with record backlog of $8.1B provides multi-year revenue visibility, and all product groups achieved double-digit growth with IP up 40%+ [1]. The EDA duopoly with Synopsys creates one of the widest moats in technology: customers invest years training engineers on specific toolchains, creating massive switching costs, and every AI chip in the world must be designed using EDA tools. The Intelligent System Design strategy expands TAM from ~$12B (EDA) to ~$30B+ (system design and analysis), and the Cadence.AI platform — which demonstrated eliminating 5 weeks of chip design time — positions the company at the intersection of AI demand and AI-enabled productivity [2]. ROE of 23.23%, profit margin of 23.61%, D/E of 39%, and 78% recurring revenue demonstrate exceptional financial quality. Five-year revenue CAGR of 14.6% with acceleration to 20%+ in 2026 supports the growth trajectory.</w:t>
      </w:r>
    </w:p>
    <w:p>
      <w:pPr>
        <w:spacing w:after="120"/>
      </w:pPr>
      <w:r>
        <w:rPr>
          <w:rFonts w:ascii="Calibri" w:hAnsi="Calibri"/>
          <w:b w:val="0"/>
          <w:color w:val="3A4A28"/>
          <w:sz w:val="20"/>
        </w:rPr>
        <w:t>The bear case centers on valuation and cyclicality. Forward P/E of 34.10 and PEG of 2.26 price in sustained double-digit growth — any deceleration from the current 20%+ trajectory could trigger meaningful multiple compression, especially given the stock's 15.73% decline over 52 weeks suggesting the market is already questioning the premium [1]. The semiconductor industry is inherently cyclical, and EDA spending, while more stable than chip revenue, is not immune to downturns in chip design starts. The concentration risk of the EDA duopoly means regulatory scrutiny is possible, and the aborted Synopsys-Ansys merger signals that M&amp;A-driven growth may face antitrust barriers. Insider selling of ~$30M over the past 12 months, while typical for a high-performing tech company, provides no offsetting buy signal [2]. The Inspire Impact Score of -49 (MISALIGNED) may limit allocation for faith-based investors despite strong ESG practices including Pledge 1% commitment and ISS Prime rating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$8.1B backlog providing multi-year revenue visibility as AI chip design complexity drives sustained demand for Cadence's EDA tools, IP licensing, and system design capabilities across Intel, Samsung, Rapidus, and hyperscaler partnerships [1]</w:t>
      </w:r>
    </w:p>
    <w:p>
      <w:pPr>
        <w:spacing w:before="40" w:after="40"/>
        <w:ind w:left="283"/>
      </w:pPr>
      <w:r>
        <w:rPr>
          <w:rFonts w:ascii="Calibri" w:hAnsi="Calibri"/>
          <w:b/>
          <w:color w:val="4A6B25"/>
          <w:sz w:val="20"/>
        </w:rPr>
        <w:t xml:space="preserve">2. </w:t>
      </w:r>
      <w:r>
        <w:rPr>
          <w:rFonts w:ascii="Calibri" w:hAnsi="Calibri"/>
          <w:b w:val="0"/>
          <w:color w:val="3A4A28"/>
          <w:sz w:val="20"/>
        </w:rPr>
        <w:t>Cadence.AI platform eliminating weeks of chip design time creates a compelling upgrade cycle for existing customers and expands the addressable market as AI-driven design automation reduces barriers to custom chip development [2]</w:t>
      </w:r>
    </w:p>
    <w:p>
      <w:pPr>
        <w:spacing w:before="40" w:after="40"/>
        <w:ind w:left="283"/>
      </w:pPr>
      <w:r>
        <w:rPr>
          <w:rFonts w:ascii="Calibri" w:hAnsi="Calibri"/>
          <w:b/>
          <w:color w:val="4A6B25"/>
          <w:sz w:val="20"/>
        </w:rPr>
        <w:t xml:space="preserve">3. </w:t>
      </w:r>
      <w:r>
        <w:rPr>
          <w:rFonts w:ascii="Calibri" w:hAnsi="Calibri"/>
          <w:b w:val="0"/>
          <w:color w:val="3A4A28"/>
          <w:sz w:val="20"/>
        </w:rPr>
        <w:t>IP business growing 40%+ YoY as semiconductor companies increasingly license pre-verified design blocks rather than building from scratch, creating a high-margin recurring revenue stream with secular growth characteristics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34.10x forward P/E and 2.26 PEG leaves limited margin of safety — any growth deceleration from the 20%+ YoY pace could trigger multiple compression, particularly given the stock's 15.73% decline over the past year [1]</w:t>
      </w:r>
    </w:p>
    <w:p>
      <w:pPr>
        <w:spacing w:before="40" w:after="40"/>
        <w:ind w:left="283"/>
      </w:pPr>
      <w:r>
        <w:rPr>
          <w:rFonts w:ascii="Calibri" w:hAnsi="Calibri"/>
          <w:b/>
          <w:color w:val="4A6B25"/>
          <w:sz w:val="20"/>
        </w:rPr>
        <w:t xml:space="preserve">2. </w:t>
      </w:r>
      <w:r>
        <w:rPr>
          <w:rFonts w:ascii="Calibri" w:hAnsi="Calibri"/>
          <w:b w:val="0"/>
          <w:color w:val="3A4A28"/>
          <w:sz w:val="20"/>
        </w:rPr>
        <w:t>Semiconductor cyclicality risk: EDA spending correlates with chip design starts, and a downturn in semiconductor capex (driven by AI spending normalization or macro weakness) would pressure Cadence's growth rate [2]</w:t>
      </w:r>
    </w:p>
    <w:p>
      <w:pPr>
        <w:spacing w:before="40" w:after="40"/>
        <w:ind w:left="283"/>
      </w:pPr>
      <w:r>
        <w:rPr>
          <w:rFonts w:ascii="Calibri" w:hAnsi="Calibri"/>
          <w:b/>
          <w:color w:val="4A6B25"/>
          <w:sz w:val="20"/>
        </w:rPr>
        <w:t xml:space="preserve">3. </w:t>
      </w:r>
      <w:r>
        <w:rPr>
          <w:rFonts w:ascii="Calibri" w:hAnsi="Calibri"/>
          <w:b w:val="0"/>
          <w:color w:val="3A4A28"/>
          <w:sz w:val="20"/>
        </w:rPr>
        <w:t>If AI fundamentally reduces the number of engineer-hours needed per chip design, Cadence's per-seat licensing model could face structural pressure even as AI chip demand grows — the productivity gains could compress total EDA spending per design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Cadence is structurally immune to AI disruption — the company IS AI infrastructure for the semiconductor industry. Designing advanced chips at 3nm and below requires precise physics simulation, timing analysis, and verification that AI cannot replace; instead, AI dramatically increases demand for Cadence's tools as chip complexity explodes [2]. CEO Devgan has stated that Cadence is 'irreplaceable' because chip design requires exact mathematical and physical modeling that generative AI alone cannot perform. Every AI chip (from NVIDIA GPUs to custom AI accelerators) must be designed using EDA tools, creating a structural tailwind. The EDA duopoly with Synopsys creates massive switching costs — customers invest years training engineers on specific toolchains. The only risk factor preventing a 9/9 is that AI could theoretically automate some aspects of chip design workflow, reducing the number of engineer-hours needed per design and potentially compressing per-seat licensing revenue. AI Opportunity (1/1): Cadence generates direct AI revenue through the Cadence.AI platform, AI-driven design optimization tools, and AI IP blocks. AI was cited as a primary driver of the record $8.1B backlog, and all product groups achieved double-digit growth partly due to AI-related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Cadence Q2 2026 Earnings — Revenue $1.584B (+24% YoY), Record Backlog $8.1B, IP Up 40%+, Full-Year Guidance Raised to $6.26-$6.34B, TIKR / StockStory / 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Cadence CEO Anirudh Devgan — AI Growth Strategy, Cadence.AI Platform (5 Weeks Design Eliminated), 'Irreplaceable' Market Position, Fortune / CNBC, April-August 2026</w:t>
      </w:r>
    </w:p>
    <w:p>
      <w:pPr>
        <w:spacing w:before="20" w:after="20"/>
        <w:ind w:left="170"/>
      </w:pPr>
      <w:r>
        <w:rPr>
          <w:rFonts w:ascii="Calibri" w:hAnsi="Calibri"/>
          <w:b/>
          <w:color w:val="4A6B25"/>
          <w:sz w:val="15"/>
        </w:rPr>
        <w:t xml:space="preserve">3. </w:t>
      </w:r>
      <w:r>
        <w:rPr>
          <w:rFonts w:ascii="Calibri" w:hAnsi="Calibri"/>
          <w:b w:val="0"/>
          <w:color w:val="3A4A28"/>
          <w:sz w:val="17"/>
        </w:rPr>
        <w:t>Cadence ESG — Pledge 1% Alliance, ISS Prime Rating, Sustainalytics Top Performer, GHG Reduction Targets, 2023-2025 ESG Reports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