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CFG</w:t>
      </w:r>
      <w:r>
        <w:rPr>
          <w:rFonts w:ascii="Calibri" w:hAnsi="Calibri"/>
          <w:b/>
          <w:color w:val="1A2010"/>
          <w:sz w:val="40"/>
        </w:rPr>
        <w:t xml:space="preserve">  Citizens Financial Group, Inc.</w:t>
      </w:r>
    </w:p>
    <w:p>
      <w:pPr>
        <w:spacing w:after="120"/>
      </w:pPr>
      <w:r>
        <w:rPr>
          <w:rFonts w:ascii="Calibri" w:hAnsi="Calibri"/>
          <w:b/>
          <w:color w:val="6E8450"/>
          <w:sz w:val="18"/>
        </w:rPr>
        <w:t>DIVIDEND SLEEVE · 2026-10-19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Citizens Financial Group operates as a bank holding company providing retail and commercial banking products and services in the United States through Consumer Banking and Commercial Banking segments. Q2 2026 net income rose 35% YoY to $587M with EPS of $1.30 (up 41%), driven by positive operating leverage of 6.4% and noninterest income growth of 9% to $652M [1]. Founded in 1828 and headquartered in Providence, Rhode Island, Citizens serves approximately 4 million customers with TTM revenue of ~$8.2B and a 26% profit margin.</w:t>
      </w:r>
    </w:p>
    <w:p>
      <w:r>
        <w:rPr>
          <w:rFonts w:ascii="Calibri" w:hAnsi="Calibri"/>
          <w:b/>
          <w:color w:val="6E8450"/>
          <w:sz w:val="18"/>
        </w:rPr>
        <w:t>17,727 Employees · https://www.citizensbank.com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Bruce Van Saun's 12-year tenure since separating from RBS in 2014, Citizens executed a multi-year strategic transformation from an underperforming regional bank into a diversified financial services company, expanding into capital markets advisory, private banking, wealth management, and point-of-sale lending (Citizens Pay), opening multiple new revenue streams [3]. AI Deployment (1/2): Citizens has launched 50 AI initiatives projected to deliver $100M in annual benefits in 2026, scaling to $250M by 2027 and $450M by end of 2028, with specific applications in customer onboarding, fraud detection, and business process redesign [3][4]. Market Share (1/2): Citizens is a top-10 US bank by deposits with growing presence in mid-market commercial banking and wealth management, though it lacks category leadership in any single product line [3]. Product Pipeline (0/2): The AI program has a clear financial roadmap but no named next-generation products or platform launches with specific dates beyond the efficiency targets. R&amp;D Intensity (0/1): No published R&amp;D spending data; technology investment appears at or near industry average for regional banks.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Citizens' stated purpose — 'We help people, businesses and communities reach their potential' — is clear but generic, interchangeable with virtually any bank; it does not articulate a distinctive vision or deeper purpose beyond standard financial services [3]. Community Impact (1/2): The bank has committed to a $50B sustainable finance target by 2030 and set a 30% Scope 1 and 2 emissions reduction goal by 2025 (50% by 2035), reflecting systematic but undifferentiated corporate sustainability programs [4]. Employee Retention (1/2): Van Saun's 12-year CEO tenure and the stable senior leadership team he recruited provide above-average organizational continuity for a regional bank, though no specific voluntary turnover data or average tenure figures are publicly available. Insider Buying (0/2): No evidence of meaningful net insider buying by CEO Van Saun or senior executives in the last 12 months; insider transaction data shows routine compensation-plan activity.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(D/E excluded — unavailable for banks). Citizens delivers strong profitability with a 26.1% profit margin (score 1.0) and robust revenue growth of 14.7% YoY (score 1.0), driven by NII expansion and fee income diversification [1][2]. The forward P/E of 9.74 is deeply discounted versus the 20 target (score 1.0), and the payout ratio of 39.2% is just under the 40% target (score 1.0) [5]. However, ROE of 8.27% significantly trails the 15% target (score 0.55), reflecting the capital-intensive nature of regional banking and management's path toward 16-18% ROTCE by 2027 [1]. The 5-year revenue CAGR of approximately 1.0% (score 0.40) reflects flat NII during the 2022-2024 rate transition period before the current reacceleration. Dividend history shows 12 consecutive years of payments (score 1.0, 2x weight) since the 2014 IPO, but only 1 year of consecutive growth (score 0.10) after flat payments in 2023-2024, with a 5-year dividend CAGR of approximately 2.0% (score 0.33, 2x weight). Daily dollar volume of $243M provides ample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Citizens under Van Saun demonstrates elements of infinite thinking through its patient multi-year transformation from RBS subsidiary to competitive standalone bank, but the mission remains generic and the organization has not been tested through existential crisis or fundamental reinvention. The company plays a competent improvement game rather than a purpose-driven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Citizens' purpose of helping customers 'reach their potential' is a standard banking platitude — interchangeable with dozens of regional bank peers and not referenced as a strategic decision-making framework [3]. Van Saun's stated goal of moving the bank beyond 'comfort and complacency' is a performance objective, not a Just Cause in Sinek's terms. The company exists to compete more effectively, not to advance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Van Saun's 12-year tenure and the leadership team he recruited provide stable organizational foundation without evidence of disruptive turnover or cultural dysfunction [3]. The bank's employee count of 17,727 reflects a right-sized organization. However, no specific data on voluntary turnover, employee engagement scores, or cultural practices distinguishes Citizens from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Van Saun explicitly frames Citizens' competitive strategy as improving the bank to compete against larger rivals by being more agile and customer-focused, rather than attacking competitors' weaknesses [3]. The company's language emphasizes self-improvement and catching up to larger rivals in capability, reflecting an infinite mindset where competitive pressure drives internal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Citizens evolved meaningfully from a neglected RBS subsidiary into a diversified standalone bank, entering adjacent markets in capital markets, wealth management, and point-of-sale lending [3]. The transformation was incremental rather than transformative — Citizens improved its existing banking model rather than fundamentally reinventing its business or abandoning a profitable legacy to pursue a new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Van Saun demonstrated courage in separating Citizens from RBS and investing heavily in new business lines (capital markets, private banking, Citizens Pay) that required upfront cost with uncertain returns [3]. The decision to invest $100M+ in AI capabilities while maintaining dividend growth shows willingness to balance near-term returns with long-term capability building. However, there is no evidence of sacrificing profitable but misaligned businesses or taking principled stances that cost money.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Citizens Financial at $63.36 is a well-managed regional bank executing a strong earnings reacceleration, with Q2 2026 net income up 35% YoY to $587M and EPS of $1.30 (+41%), driven by 14.7% revenue growth, positive operating leverage of 6.4%, and noninterest income expansion to $652M [1][2]. The forward P/E of 9.74x represents a significant discount to historical averages and the broader market, while management's roadmap to 16-18% ROTCE by 2027 implies substantial earnings upside from the current 8.3% ROE [1]. Van Saun's AI program targeting $100-450M in cumulative annual benefits by 2028 provides a quantified efficiency catalyst, and the 2.9% dividend yield with a 39% payout ratio offers downside protection with room for dividend growth [3][4][5].</w:t>
      </w:r>
    </w:p>
    <w:p>
      <w:pPr>
        <w:spacing w:after="120"/>
      </w:pPr>
      <w:r>
        <w:rPr>
          <w:rFonts w:ascii="Calibri" w:hAnsi="Calibri"/>
          <w:b w:val="0"/>
          <w:color w:val="3A4A28"/>
          <w:sz w:val="20"/>
        </w:rPr>
        <w:t>The bear case centers on structural challenges facing regional banks. The 5-year revenue CAGR of just 1% reveals that the current growth acceleration follows a prolonged period of NII compression during 2022-2024, raising questions about sustainability as rate cuts progress [2]. ROE of 8.3% remains well below the 15% target needed for premium valuation, and the path to 16-18% ROTCE by 2027 depends on continued NIM expansion and fee income growth that may stall in a lower-rate environment. Fintech competition from neobanks and digital lenders continues to pressure traditional banking economics, particularly in consumer lending where Citizens generates significant revenue. With only 1 year of consecutive dividend growth after flat payments in 2023-2024, the dividend growth story is nascent rather than established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efficiency program scaling from $100M in 2026 to $450M in annual benefits by 2028, with 50 initiatives already deployed across customer onboarding, fraud detection, and process automation [3][4]</w:t>
      </w:r>
    </w:p>
    <w:p>
      <w:pPr>
        <w:spacing w:before="40" w:after="40"/>
        <w:ind w:left="283"/>
      </w:pPr>
      <w:r>
        <w:rPr>
          <w:rFonts w:ascii="Calibri" w:hAnsi="Calibri"/>
          <w:b/>
          <w:color w:val="4A6B25"/>
          <w:sz w:val="20"/>
        </w:rPr>
        <w:t xml:space="preserve">2. </w:t>
      </w:r>
      <w:r>
        <w:rPr>
          <w:rFonts w:ascii="Calibri" w:hAnsi="Calibri"/>
          <w:b w:val="0"/>
          <w:color w:val="3A4A28"/>
          <w:sz w:val="20"/>
        </w:rPr>
        <w:t>Path to 16-18% ROTCE by 2027 from current 8.3% ROE through NIM expansion, fee income diversification, and operating leverage — Q2 2026 already showed 6.4% positive operating leverage [1]</w:t>
      </w:r>
    </w:p>
    <w:p>
      <w:pPr>
        <w:spacing w:before="40" w:after="40"/>
        <w:ind w:left="283"/>
      </w:pPr>
      <w:r>
        <w:rPr>
          <w:rFonts w:ascii="Calibri" w:hAnsi="Calibri"/>
          <w:b/>
          <w:color w:val="4A6B25"/>
          <w:sz w:val="20"/>
        </w:rPr>
        <w:t xml:space="preserve">3. </w:t>
      </w:r>
      <w:r>
        <w:rPr>
          <w:rFonts w:ascii="Calibri" w:hAnsi="Calibri"/>
          <w:b w:val="0"/>
          <w:color w:val="3A4A28"/>
          <w:sz w:val="20"/>
        </w:rPr>
        <w:t>Forward P/E of 9.74x at substantial discount to historical averages and money-center bank peers, providing meaningful multiple expansion potential if the ROTCE trajectory materializes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ROE of 8.3% remains far below the 15% cost-of-equity benchmark, and the ROTCE expansion path depends on rate environment cooperation — sustained rate cuts could compress NIM and stall the earnings recovery [1][5]</w:t>
      </w:r>
    </w:p>
    <w:p>
      <w:pPr>
        <w:spacing w:before="40" w:after="40"/>
        <w:ind w:left="283"/>
      </w:pPr>
      <w:r>
        <w:rPr>
          <w:rFonts w:ascii="Calibri" w:hAnsi="Calibri"/>
          <w:b/>
          <w:color w:val="4A6B25"/>
          <w:sz w:val="20"/>
        </w:rPr>
        <w:t xml:space="preserve">2. </w:t>
      </w:r>
      <w:r>
        <w:rPr>
          <w:rFonts w:ascii="Calibri" w:hAnsi="Calibri"/>
          <w:b w:val="0"/>
          <w:color w:val="3A4A28"/>
          <w:sz w:val="20"/>
        </w:rPr>
        <w:t>Regional bank competitive positioning under pressure from fintech neobanks (Chime, SoFi) and digital lenders using AI to undercut traditional banking unit economics in consumer lending and payments</w:t>
      </w:r>
    </w:p>
    <w:p>
      <w:pPr>
        <w:spacing w:before="40" w:after="40"/>
        <w:ind w:left="283"/>
      </w:pPr>
      <w:r>
        <w:rPr>
          <w:rFonts w:ascii="Calibri" w:hAnsi="Calibri"/>
          <w:b/>
          <w:color w:val="4A6B25"/>
          <w:sz w:val="20"/>
        </w:rPr>
        <w:t xml:space="preserve">3. </w:t>
      </w:r>
      <w:r>
        <w:rPr>
          <w:rFonts w:ascii="Calibri" w:hAnsi="Calibri"/>
          <w:b w:val="0"/>
          <w:color w:val="3A4A28"/>
          <w:sz w:val="20"/>
        </w:rPr>
        <w:t>Governance concern from Robbins LLP investigation into potential data fabrication in the Citizens Checkup program, which if substantiated could damage customer trust and trigger regulatory scrutiny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Banking's core business is protected by regulatory moats (bank charter requirements, FDIC insurance, capital adequacy rules), deep customer switching costs, and the necessity of physical and digital infrastructure that AI cannot replace [3]. Citizens' deposit base and lending relationships involve regulated, trust-dependent processes resistant to AI substitution. However, regional banks face meaningful competitive pressure from fintech neobanks (Chime, SoFi) and digital lenders that leverage AI to undercut traditional banking economics, particularly in consumer lending and payments where Citizens generates significant revenue. Analysts view regional banks as more exposed than money-center banks to these digital disruptors. AI Opportunity (0/1): Citizens' AI program targets $100-450M in annual internal efficiency gains through process automation and fraud detection [3][4], but generates no direct AI revenue — the benefits are cost savings rather than AI products sold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Citizens Financial Group Q2 2026 Earnings Press Release — Net Income $587M (+35% YoY), EPS $1.30 (+41%), Positive Operating Leverage 6.4%, July 2026</w:t>
      </w:r>
    </w:p>
    <w:p>
      <w:pPr>
        <w:spacing w:before="20" w:after="20"/>
        <w:ind w:left="170"/>
      </w:pPr>
      <w:r>
        <w:rPr>
          <w:rFonts w:ascii="Calibri" w:hAnsi="Calibri"/>
          <w:b/>
          <w:color w:val="4A6B25"/>
          <w:sz w:val="15"/>
        </w:rPr>
        <w:t xml:space="preserve">2. </w:t>
      </w:r>
      <w:r>
        <w:rPr>
          <w:rFonts w:ascii="Calibri" w:hAnsi="Calibri"/>
          <w:b w:val="0"/>
          <w:color w:val="3A4A28"/>
          <w:sz w:val="17"/>
        </w:rPr>
        <w:t>Citizens Financial Group Q1 2026 Earnings Press Release — Revenue $2.168B, EPS $1.13, April 2026</w:t>
      </w:r>
    </w:p>
    <w:p>
      <w:pPr>
        <w:spacing w:before="20" w:after="20"/>
        <w:ind w:left="170"/>
      </w:pPr>
      <w:r>
        <w:rPr>
          <w:rFonts w:ascii="Calibri" w:hAnsi="Calibri"/>
          <w:b/>
          <w:color w:val="4A6B25"/>
          <w:sz w:val="15"/>
        </w:rPr>
        <w:t xml:space="preserve">3. </w:t>
      </w:r>
      <w:r>
        <w:rPr>
          <w:rFonts w:ascii="Calibri" w:hAnsi="Calibri"/>
          <w:b w:val="0"/>
          <w:color w:val="3A4A28"/>
          <w:sz w:val="17"/>
        </w:rPr>
        <w:t>Semafor Interview — How Bruce Van Saun United Citizens Against America's Biggest Banks, AI Strategy ($100M-$450M Benefits), July 2026</w:t>
      </w:r>
    </w:p>
    <w:p>
      <w:pPr>
        <w:spacing w:before="20" w:after="20"/>
        <w:ind w:left="170"/>
      </w:pPr>
      <w:r>
        <w:rPr>
          <w:rFonts w:ascii="Calibri" w:hAnsi="Calibri"/>
          <w:b/>
          <w:color w:val="4A6B25"/>
          <w:sz w:val="15"/>
        </w:rPr>
        <w:t xml:space="preserve">4. </w:t>
      </w:r>
      <w:r>
        <w:rPr>
          <w:rFonts w:ascii="Calibri" w:hAnsi="Calibri"/>
          <w:b w:val="0"/>
          <w:color w:val="3A4A28"/>
          <w:sz w:val="17"/>
        </w:rPr>
        <w:t>Citizens Financial Group FY2025 Annual Report/ARS — ESG Targets, Sustainability Finance Commitment, SEC Filing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CFG Key Statistics, Market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