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CGAU</w:t>
      </w:r>
      <w:r>
        <w:rPr>
          <w:rFonts w:ascii="Calibri" w:hAnsi="Calibri"/>
          <w:b/>
          <w:color w:val="1A2010"/>
          <w:sz w:val="40"/>
        </w:rPr>
        <w:t xml:space="preserve">  Centerra Gold Inc.</w:t>
      </w:r>
    </w:p>
    <w:p>
      <w:pPr>
        <w:spacing w:after="120"/>
      </w:pPr>
      <w:r>
        <w:rPr>
          <w:rFonts w:ascii="Calibri" w:hAnsi="Calibri"/>
          <w:b/>
          <w:color w:val="6E8450"/>
          <w:sz w:val="18"/>
        </w:rPr>
        <w:t>GROWTH SLEEVE · 2026-09-10 · Inspire: 0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49</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Basic Materials · Gold · NYSE · Canada</w:t>
      </w:r>
    </w:p>
    <w:p>
      <w:pPr>
        <w:spacing w:after="80"/>
      </w:pPr>
      <w:r>
        <w:rPr>
          <w:rFonts w:ascii="Calibri" w:hAnsi="Calibri"/>
          <w:b w:val="0"/>
          <w:color w:val="3A4A28"/>
          <w:sz w:val="20"/>
        </w:rPr>
        <w:t>Centerra Gold Inc. is a Canadian gold mining company operating the Mt. Milligan copper-gold mine in British Columbia and the Oksut gold mine in Turkey. The company lost its flagship Kumtor mine in Kyrgyzstan through a contested nationalization in 2021, settling with the Kyrgyz government in 2022. Centerra has since rebuilt, delivering Q2 2026 revenue of $442.7M (+54% YoY) with net earnings of $72.1M and adjusted EBITDA of $163M. H1 2026 revenue surged 58% to $927.4M with net earnings of $151.5M and adjusted EBITDA up 101% to $327.3M. The company holds $552M in cash against only $43.7M in debt, maintaining a fortress balance sheet.</w:t>
      </w:r>
    </w:p>
    <w:p>
      <w:r>
        <w:rPr>
          <w:rFonts w:ascii="Calibri" w:hAnsi="Calibri"/>
          <w:b/>
          <w:color w:val="6E8450"/>
          <w:sz w:val="18"/>
        </w:rPr>
        <w:t>4,200 Employees · https://www.centerragold.com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Centerra rebuilt after the traumatic loss of its flagship Kumtor mine to Kyrgyz nationalization in 2021, refocusing on Mt. Milligan and Oksut while settling the dispute with the government in 2022 ($36.6M payment + mine handover) [3][4]. Revenue surged 58% in H1 2026 to $927.4M, driven primarily by elevated gold prices rather than transformative product innovation [1]. The company executed operationally but has not launched new products, entered new markets, or undergone a business model transformation. AI Deployment (0/2): No evidence of AI deployment in mining operations, geological modeling, or corporate functions was identified [2]. Centerra relies on traditional mining engineering and geological expertise. Market Share (0/2): Centerra is a mid-tier gold producer, not a category leader. The company produces gold from two operating mines (Mt. Milligan, Oksut) but does not hold dominant market share in any mining jurisdiction or commodity category [1]. Pipeline (1/2): Centerra has exploration and development projects, and raised full-year guidance following strong Q2 2026 results [1]. However, no specific next-generation projects with named launch dates were identified from the search results beyond general development activity. R&amp;D Intensity (0/1): Gold mining companies generally invest minimally in R&amp;D compared to technology or healthcare peers. No evidence of above-industry-average R&amp;D or technology investment was identified for Centerra [2].</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Centerra Gold describes itself as 'committed to sustainable mining practices, environmental stewardship' and operating a 'diversified global portfolio' [2]. This is a generic mining company mission interchangeable with virtually any mid-tier gold producer. The statement does not articulate a distinctive purpose or vision beyond responsible extraction and shareholder returns. Community Impact (0/2): The Kumtor nationalization controversy overshadows Centerra's community track record — a Kyrgyz court found the company guilty of illegally dumping waste on glaciers causing $3B in environmental damage, and the mine was seized amid allegations of environmental harm and community neglect [4]. While the 2022 settlement resolved the legal dispute, the environmental and social controversies in Kyrgyzstan represent a significant negative mark on community impact. No specific charitable programs or community investment amounts at Mt. Milligan or Oksut were identified. Employee Retention (0/2): Centerra has experienced significant leadership turnover — COO David Hendriks left the company in March 2026 (approximately 11 months after appointment in April 2025), replaced by interim COO Mike Sylvestre [2]. This rapid COO turnover suggests potential organizational instability at the operational leadership level. Insider Buying (0/2): No evidence of meaningful net insider buying by CEO Paul Tomory or other executives was identified in the last 12 months.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as a Growth stock with Forward PEG excluded (unavailable). Centerra achieves a perfect score driven by exceptional financial metrics in a gold bull market. D/E of 2% ($43.7M debt against $552M cash) is effectively zero leverage, scoring 1.0 [1][4]. ROE of 33.69% far exceeds the 15% target, scoring 1.0 with 2x weight [4]. Revenue growth YoY of 54% in Q2 2026 ($442.7M vs ~$288M prior year) massively exceeds the 10% target, scoring 1.0 [1]. Revenue growth 5-year CAGR of approximately 9% (from ~$1.0B in 2021 to TTM ~$1.57B, reflecting the post-Kumtor dip and subsequent recovery) approaches the 10% target, scoring 0.93 with 2x weight. Forward P/E of 8.30 is deeply discounted versus the 20 target, scoring 1.0 [4]. Profit margin of 40.32% far exceeds the 20% target, scoring 1.0 [4]. Liquidity clears the floor easily at $20.07 x ~2.0M avg daily volume = ~$40.1M daily dollar volume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2</w:t>
      </w:r>
      <w:r>
        <w:rPr>
          <w:rFonts w:ascii="Calibri" w:hAnsi="Calibri"/>
          <w:b w:val="0"/>
          <w:color w:val="9DAF88"/>
          <w:sz w:val="18"/>
        </w:rPr>
        <w:t xml:space="preserve"> /10</w:t>
      </w:r>
    </w:p>
    <w:p>
      <w:pPr>
        <w:spacing w:after="120"/>
      </w:pPr>
      <w:r>
        <w:rPr>
          <w:rFonts w:ascii="Calibri" w:hAnsi="Calibri"/>
          <w:b w:val="0"/>
          <w:color w:val="3A4A28"/>
          <w:sz w:val="18"/>
        </w:rPr>
        <w:t>Centerra Gold operates with a predominantly finite mindset, focused on quarterly gold production, cost optimization, and shareholder returns rather than articulating an enduring purpose that transcends the current operating portfolio. The company's history — losing its flagship Kumtor mine to nationalization, rapid COO turnover, and generic corporate mission — suggests an organization optimized for near-term extraction value rather than institutional endurance. While the post-Kumtor recovery demonstrates operational resilience, it was forced by crisis rather than driven by a Just Cause [3][4].</w:t>
      </w:r>
    </w:p>
    <w:p>
      <w:pPr>
        <w:spacing w:before="200" w:after="40"/>
      </w:pPr>
      <w:r>
        <w:rPr>
          <w:rFonts w:ascii="Calibri" w:hAnsi="Calibri"/>
          <w:b/>
          <w:color w:val="1A2010"/>
          <w:sz w:val="22"/>
        </w:rPr>
        <w:t>Just Cause</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(0/3): Centerra Gold does not articulate a Just Cause. The company's mission — 'committed to sustainable mining practices and environmental stewardship' — is generic corporate boilerplate interchangeable with any mining company [2]. The company exists to extract gold profitably and return capital to shareholders. No evidence of a vision that inspires sacrifice, endures beyond current operations, or connects the company's work to something bigger than mining. The Kumtor environmental controversy ($3B in court-assessed environmental damage) undermines any sustainability narrative [4].</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Centerra has experienced concerning leadership instability at the operational level — COO David Hendriks left the company in March 2026 after approximately 11 months, replaced by interim COO Mike Sylvestre [2]. Prior to Hendriks, COO Paul Chawrun was also replaced (Hendriks was appointed April 2025). Two COO changes in approximately two years suggests organizational instability or cultural issues at the senior operational leadership level. This rapid turnover at the C-suite makes it difficult to build the trusting, stable teams that Sinek identifies as foundational for infinite game organizations.</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was identified of Centerra framing competitors (Barrick Gold, Newmont, Agnico Eagle, Kinross) as worthy rivals in the Sinek sense. The company's competitive language is oriented toward production targets, cost metrics (AISC), and reserve growth — standard finite-game metrics focused on operational benchmarks rather than learning from rivals' strengths [1].</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Centerra's post-Kumtor recovery demonstrates some strategic adaptability — after losing its primary asset (the Kumtor mine contributed the majority of production), the company refocused on Mt. Milligan and Oksut, settled the Kyrgyz dispute pragmatically ($36.6M + mine handover), and rebuilt production capacity [3][4]. Revenue grew from the post-Kumtor nadir to $927.4M in H1 2026 alone. However, this flexibility was forced by crisis (nationalization) rather than driven by a Just Cause, and the company did not fundamentally reinvent its business model — it continued mining gold from its remaining assets.</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The decision to settle the ICSID arbitration with Kyrgyzstan — accepting the loss of the Kumtor mine and paying $36.6M rather than pursuing years of uncertain litigation — demonstrated pragmatic courage and willingness to absorb a costly loss to move forward [3][4]. The company has maintained significant capital investment and exploration activity despite the Kumtor trauma. However, the current strategy benefits enormously from record gold prices above $2,400/oz rather than requiring costly counter-cyclical bets, and the rapid COO turnover undermines the leadership stability narrative.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Centerra Gold is a financially exceptional gold producer trading at 5.54x trailing PE and 8.30x forward PE — among the cheapest valuations in the gold mining sector — with a fortress balance sheet ($552M cash, $43.7M debt, D/E of 2%) and 40.32% profit margins driven by elevated gold prices [1][4]. Q2 2026 revenue surged 54% YoY to $442.7M with H1 2026 revenue up 58% to $927.4M, adjusted EBITDA up 101% to $327.3M, and net earnings of $151.5M [1]. ROE of 33.69% reflects exceptional capital efficiency, and the forward PE of 8.30x suggests the market is pricing in significant gold price risk despite the company's near-zero leverage providing substantial downside protection. The $552M cash position and minimal debt mean Centerra can self-fund operations and return capital through the cycle without dilution. The company raised full-year guidance following strong Q2 results [1]. The Inspire Impact Score of 0 (MIXED) is neutral for faith-based investors.</w:t>
      </w:r>
    </w:p>
    <w:p>
      <w:pPr>
        <w:spacing w:after="120"/>
      </w:pPr>
      <w:r>
        <w:rPr>
          <w:rFonts w:ascii="Calibri" w:hAnsi="Calibri"/>
          <w:b w:val="0"/>
          <w:color w:val="3A4A28"/>
          <w:sz w:val="20"/>
        </w:rPr>
        <w:t>The bear case centers on gold price dependence, the Kumtor legacy, and leadership instability. Centerra's 40.32% profit margins and 54% revenue growth are overwhelmingly driven by gold prices near record levels — a reversion to $1,800/oz would compress margins dramatically and could push the company toward breakeven depending on AISC levels [1]. The Kumtor nationalization legacy ($3B in court-assessed environmental damage, mine seizure) represents a permanent stain on the company's governance and ESG track record that constrains the quality premium investors assign to the stock [4]. COO turnover is concerning — two COO changes in approximately two years (Chawrun to Hendriks in April 2025, Hendriks departed March 2026) suggests operational leadership challenges that could impact execution at Mt. Milligan and Oksut [2]. The company's innovation and inspiration scores are weak (2 and 1 respectively), reflecting a business that extracts commodity value without distinctive purpose, AI capability, or market-leading innovation. The Growth sleeve classification means investors receive only a 1.17% dividend yield despite the company's massive cash generation. The 5-year revenue CAGR of approximately 9% reflects the post-Kumtor trough and is below the 10% target.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Raised full-year 2026 guidance following strong Q2 results — H1 2026 revenue of $927.4M (+58% YoY) with adjusted EBITDA of $327.3M (+101% YoY) and net earnings of $151.5M (+53% YoY) demonstrate sustained operational momentum [1]</w:t>
      </w:r>
    </w:p>
    <w:p>
      <w:pPr>
        <w:spacing w:before="40" w:after="40"/>
        <w:ind w:left="283"/>
      </w:pPr>
      <w:r>
        <w:rPr>
          <w:rFonts w:ascii="Calibri" w:hAnsi="Calibri"/>
          <w:b/>
          <w:color w:val="4A6B25"/>
          <w:sz w:val="20"/>
        </w:rPr>
        <w:t xml:space="preserve">2. </w:t>
      </w:r>
      <w:r>
        <w:rPr>
          <w:rFonts w:ascii="Calibri" w:hAnsi="Calibri"/>
          <w:b w:val="0"/>
          <w:color w:val="3A4A28"/>
          <w:sz w:val="20"/>
        </w:rPr>
        <w:t>Fortress balance sheet with $552M cash and $43.7M debt provides strategic optionality — potential for accretive acquisitions, accelerated capital returns, or self-funded mine development without dilution [1][4]</w:t>
      </w:r>
    </w:p>
    <w:p>
      <w:pPr>
        <w:spacing w:before="40" w:after="40"/>
        <w:ind w:left="283"/>
      </w:pPr>
      <w:r>
        <w:rPr>
          <w:rFonts w:ascii="Calibri" w:hAnsi="Calibri"/>
          <w:b/>
          <w:color w:val="4A6B25"/>
          <w:sz w:val="20"/>
        </w:rPr>
        <w:t xml:space="preserve">3. </w:t>
      </w:r>
      <w:r>
        <w:rPr>
          <w:rFonts w:ascii="Calibri" w:hAnsi="Calibri"/>
          <w:b w:val="0"/>
          <w:color w:val="3A4A28"/>
          <w:sz w:val="20"/>
        </w:rPr>
        <w:t>Gold price environment remains elevated above $2,400/oz with macro tailwinds (central bank buying, geopolitical uncertainty, inflation hedging) supporting continued strong margins at Mt. Milligan and Oksut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Gold price dependence — the 40.32% profit margin and 54% revenue growth are almost entirely driven by elevated gold prices near record levels; a reversion to $1,800/oz would compress margins dramatically and could eliminate profitability depending on AISC levels [1]</w:t>
      </w:r>
    </w:p>
    <w:p>
      <w:pPr>
        <w:spacing w:before="40" w:after="40"/>
        <w:ind w:left="283"/>
      </w:pPr>
      <w:r>
        <w:rPr>
          <w:rFonts w:ascii="Calibri" w:hAnsi="Calibri"/>
          <w:b/>
          <w:color w:val="4A6B25"/>
          <w:sz w:val="20"/>
        </w:rPr>
        <w:t xml:space="preserve">2. </w:t>
      </w:r>
      <w:r>
        <w:rPr>
          <w:rFonts w:ascii="Calibri" w:hAnsi="Calibri"/>
          <w:b w:val="0"/>
          <w:color w:val="3A4A28"/>
          <w:sz w:val="20"/>
        </w:rPr>
        <w:t>COO leadership instability — two COO changes in approximately two years (Chawrun replaced by Hendriks April 2025, Hendriks departed March 2026 with interim replacement Sylvestre) signals potential operational leadership challenges at a critical level [2]</w:t>
      </w:r>
    </w:p>
    <w:p>
      <w:pPr>
        <w:spacing w:before="40" w:after="40"/>
        <w:ind w:left="283"/>
      </w:pPr>
      <w:r>
        <w:rPr>
          <w:rFonts w:ascii="Calibri" w:hAnsi="Calibri"/>
          <w:b/>
          <w:color w:val="4A6B25"/>
          <w:sz w:val="20"/>
        </w:rPr>
        <w:t xml:space="preserve">3. </w:t>
      </w:r>
      <w:r>
        <w:rPr>
          <w:rFonts w:ascii="Calibri" w:hAnsi="Calibri"/>
          <w:b w:val="0"/>
          <w:color w:val="3A4A28"/>
          <w:sz w:val="20"/>
        </w:rPr>
        <w:t>Kumtor legacy and ESG overhang — the Kyrgyz court finding of $3B in environmental damage, mine nationalization, and settlement weigh on the company's governance reputation and may limit institutional investor appetite despite current financial performance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(9/9 — IMMUNE): Gold mining is one of the most AI-immune businesses in existence. Extracting gold from open-pit and underground mines requires physical equipment, human labor, geological expertise, and on-site operations that AI cannot replace [2]. The commodity itself — gold — faces zero substitution risk with 5,000+ years of value history as a store of wealth, jewelry material, and industrial input. AI-driven economic growth may actually increase gold demand through industrial applications (AI chip bonding wires, connectors) and as a hedge against economic disruption and inflation. The mining process at Mt. Milligan (copper-gold) and Oksut (heap-leach gold) involves physical extraction, processing, and environmental management that AI tools cannot replicate. Regulatory, environmental, and community relationship management in mining jurisdictions (British Columbia, Turkey) requires human judgment. AI Opportunity (0/1): Centerra Gold does not generate AI-related revenue. While AI has potential applications in geological modeling, autonomous mining equipment, and predictive maintenance, Centerra has not deployed or reported revenue from any AI-related products or services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0</w:t>
      </w:r>
      <w:r>
        <w:rPr>
          <w:rFonts w:ascii="Calibri" w:hAnsi="Calibri"/>
          <w:b/>
          <w:color w:val="B8860B"/>
          <w:sz w:val="20"/>
        </w:rPr>
        <w:t xml:space="preserve">    MIXED</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Centerra Gold Q2 2026 Results — Revenue $442.7M (+54% YoY), net earnings $72.1M ($0.37/share), adjusted net earnings $79.3M ($0.40/share), H1 revenue $927.4M (+58%), H1 net earnings $151.5M, adjusted EBITDA H1 $327.3M (+101%), guidance raised, stocktitan.net/investing.com, July 2026</w:t>
      </w:r>
    </w:p>
    <w:p>
      <w:pPr>
        <w:spacing w:before="20" w:after="20"/>
        <w:ind w:left="170"/>
      </w:pPr>
      <w:r>
        <w:rPr>
          <w:rFonts w:ascii="Calibri" w:hAnsi="Calibri"/>
          <w:b/>
          <w:color w:val="4A6B25"/>
          <w:sz w:val="15"/>
        </w:rPr>
        <w:t xml:space="preserve">2. </w:t>
      </w:r>
      <w:r>
        <w:rPr>
          <w:rFonts w:ascii="Calibri" w:hAnsi="Calibri"/>
          <w:b w:val="0"/>
          <w:color w:val="3A4A28"/>
          <w:sz w:val="17"/>
        </w:rPr>
        <w:t>Centerra Gold Leadership and Operations — CEO Paul Tomory, COO David Hendriks departed March 2026 (11 months), interim COO Mike Sylvestre (45 years mining experience), operations overview, Yahoo Finance/GlobeNewsWire, 2025-2026</w:t>
      </w:r>
    </w:p>
    <w:p>
      <w:pPr>
        <w:spacing w:before="20" w:after="20"/>
        <w:ind w:left="170"/>
      </w:pPr>
      <w:r>
        <w:rPr>
          <w:rFonts w:ascii="Calibri" w:hAnsi="Calibri"/>
          <w:b/>
          <w:color w:val="4A6B25"/>
          <w:sz w:val="15"/>
        </w:rPr>
        <w:t xml:space="preserve">3. </w:t>
      </w:r>
      <w:r>
        <w:rPr>
          <w:rFonts w:ascii="Calibri" w:hAnsi="Calibri"/>
          <w:b w:val="0"/>
          <w:color w:val="3A4A28"/>
          <w:sz w:val="17"/>
        </w:rPr>
        <w:t>Centerra Gold Kumtor Settlement — ICSID arbitration settled April 2022, Kyrgyzstan received 100% Kumtor ownership + $36.6M cash, $3B environmental damage court finding, mine nationalized May 2021, mining.com/Al Jazeera, 2021-2022</w:t>
      </w:r>
    </w:p>
    <w:p>
      <w:pPr>
        <w:spacing w:before="20" w:after="20"/>
        <w:ind w:left="170"/>
      </w:pPr>
      <w:r>
        <w:rPr>
          <w:rFonts w:ascii="Calibri" w:hAnsi="Calibri"/>
          <w:b/>
          <w:color w:val="4A6B25"/>
          <w:sz w:val="15"/>
        </w:rPr>
        <w:t xml:space="preserve">4. </w:t>
      </w:r>
      <w:r>
        <w:rPr>
          <w:rFonts w:ascii="Calibri" w:hAnsi="Calibri"/>
          <w:b w:val="0"/>
          <w:color w:val="3A4A28"/>
          <w:sz w:val="17"/>
        </w:rPr>
        <w:t>StockAnalysis / Yahoo Finance — CGAU financial data: stock price $20.07, P/E 5.54, Forward P/E 8.30, D/E 2%, ROE 33.69%, profit margin 40.32%, market cap $3.4B, cash $552M, debt $43.7M, dividend yield 1.17%,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