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CGON</w:t>
      </w:r>
      <w:r>
        <w:rPr>
          <w:rFonts w:ascii="Calibri" w:hAnsi="Calibri"/>
          <w:b/>
          <w:color w:val="1A2010"/>
          <w:sz w:val="40"/>
        </w:rPr>
        <w:t xml:space="preserve">  CG Oncology, Inc.</w:t>
      </w:r>
    </w:p>
    <w:p>
      <w:pPr>
        <w:spacing w:after="120"/>
      </w:pPr>
      <w:r>
        <w:rPr>
          <w:rFonts w:ascii="Calibri" w:hAnsi="Calibri"/>
          <w:b/>
          <w:color w:val="6E8450"/>
          <w:sz w:val="18"/>
        </w:rPr>
        <w:t>GROWTH SLEEVE · 2026-09-22 · Inspire: 15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CG Oncology is a late-stage clinical biopharmaceutical company developing cretostimogene grenadenorepvec, an investigational oncolytic immunotherapy for patients with bladder cancer. The company's lead candidate is in Phase 3 clinical trials across multiple indications: BOND-003 for BCG-unresponsive non-muscle invasive bladder cancer (NMIBC), PIVOT-006 for intermediate-risk NMIBC, and CORE-008 for high-risk NMIBC including BCG-exposed and BCG-naive patients. A BLA filing for high-risk BCG-unresponsive NMIBC is expected in Q4 2026. The company reported Q2 2026 revenue of $1.16M (primarily grants), a net loss of $79M, and holds approximately $1B in cash expected to fund operations through 2029. Market cap is approximately $6.9B, reflecting significant pipeline optionality.</w:t>
      </w:r>
    </w:p>
    <w:p>
      <w:r>
        <w:rPr>
          <w:rFonts w:ascii="Calibri" w:hAnsi="Calibri"/>
          <w:b/>
          <w:color w:val="6E8450"/>
          <w:sz w:val="18"/>
        </w:rPr>
        <w:t>142 Employees · https://cgoncology.com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CG Oncology has advanced cretostimogene from discovery through multiple Phase 2 and Phase 3 clinical trials since its founding in 2010, demonstrating consistent execution over 16 years [2]. However, as a single-product company that has not yet commercialized any therapy, the innovation track record lacks the breadth of successful product launches or market pivots that would score higher. AI Deployment (0/2): No AI-powered products or internal AI-driven efficiencies have been reported. The company's focus is entirely on biological drug development, not technology deployment. Market Share (0/2): CG Oncology has no marketed products and therefore holds no market share. If cretostimogene is approved, it would be first-in-class for oncolytic immunotherapy in bladder cancer, but approval has not yet occurred. Product Pipeline (2/2): The pipeline is specific and well-defined with clear timelines: BLA expected Q4 2026 for BCG-unresponsive NMIBC, Phase 3 PIVOT-006 topline data anticipated near-term for intermediate-risk NMIBC, and Phase 2 CORE-008 actively enrolling [1]. Multiple data readouts provide concrete catalysts. R&amp;D Intensity (1/1): As a clinical-stage biotech, essentially all capital is directed toward R&amp;D — the company spent $79M in Q2 2026 alone on operations, with the vast majority funding clinical trials and drug development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CG Oncology's vision — 'a world where urologic cancer patients can benefit from innovative immunotherapies to live with dignity and have an enhanced quality of life' — is specific, thoughtful, and deeply personal to CEO Arthur Kuan, who lost his father to cancer [2]. The mission directly connects the company's work to reducing suffering and preserving quality of life for bladder cancer patients. It differentiates from generic pharma purpose statements by naming the specific population and the specific outcome (bladder-sparing therapy that preserves dignity). Community Impact (1/2): CG Oncology is a Partner in Progress with the Bladder Cancer Advocacy Network (BCAN), supporting patient education and advocacy [3]. For a 142-person company, this represents meaningful engagement with the patient community it serves. Employee Retention (0/2): No specific retention or tenure data is available. The recent departure of President &amp; COO Ambaw Bellete, with CEO Kuan assuming the President role while searching for a Chief Commercial Officer, introduces some leadership instability. Insider Buying (0/2): No evidence of meaningful net insider buying was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using Growth sleeve weights. D/E of 0.86% is nearly zero-debt, scoring perfectly (1.0 with 1x weight), reflecting $1B in cash against minimal debt — a strong balance sheet for a clinical-stage biotech [4]. However, ROE of -26.41% falls below the 0% floor (0.0 with 2x weight), reflecting the pre-revenue loss-making status inherent to clinical-stage drug development. Profit margin of 0.0% scores at floor (0.0 with 1x weight). Forward P/E of -25.91 is excluded as economically nonsensical for a pre-revenue company (negative PE indicates expected losses, not attractive valuation). Revenue growth, 5yr CAGR, and PEG are unavailable and excluded. Weighted sum 1.0/4.0 available weight units yields infrastructure score of 2 after rounding. Stock clears liquidity floor at ~$73M daily trading volume. The low infrastructure score appropriately reflects a company with no commercial revenue, no profitability, and heavy cash burn — offset only by the pristine balance sheet.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CG Oncology has a genuine and deeply personal cause — CEO Arthur Kuan's mission to develop bladder-sparing therapies after losing his father to cancer — that drives the company's focused 16-year pursuit of cretostimogene. This personal commitment and single-minded focus on bladder cancer patients distinguish CG Oncology from many clinical-stage biotechs that chase multiple therapeutic areas. However, the company is too young in its public life and too narrowly focused to have demonstrated the broader infinite game qualities Sinek values: it has not yet faced the crisis that tests courage, the scale that tests trusting teams, or the strategic crossroads that tests existential flexibility.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CG Oncology's cause — developing immunotherapies that allow bladder cancer patients to 'live with dignity and have an enhanced quality of life' by preserving their bladders — is genuine, distinctive, and personally validated by CEO Arthur Kuan's family experience with cancer [2]. The company has pursued this single cause for 16 years since founding in 2010, demonstrating consistency through the long clinical development process. The cause connects the company's work to something bigger than profit — preserving patients' quality of life and bodily dignity. However, the cause has not yet been tested through crisis, leadership transition, or multi-decade commercial validation.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CG Oncology is a 142-person company where the executive team has personal connections to bladder cancer, suggesting genuine shared purpose [2]. CEO Kuan's EY Entrepreneur of the Year recognition in 2024 signals external validation of leadership quality. However, the recent departure of President &amp; COO Ambaw Bellete introduces concerns about leadership stability, and with Kuan assuming the President role in addition to CEO/Chairman, the concentration of authority may limit the distributed trust Sinek's framework values.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CG Oncology views competitors or frames competitive dynamics. As a first-in-class oncolytic immunotherapy company focused specifically on bladder cancer, the company competes against standard-of-care BCG and potential new entrants. Management communications focus on advancing their own clinical program rather than referencing competitors as sources of learning or 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CG Oncology has maintained a singular focus on cretostimogene for bladder cancer since founding in 2010, which demonstrates admirable commitment but has not required or demonstrated transformative strategic flexibility [1]. The company has not faced the test of needing to abandon what is working in service of a larger cause — it has always pursued the same product in the same indication. The expansion from BCG-unresponsive to intermediate-risk and broader high-risk NMIBC represents incremental indication expansion, not a transformative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CG Oncology's leadership has demonstrated some courageous conviction in pursuing a novel therapeutic modality (oncolytic immunotherapy) through a 16-year development timeline, maintaining focus despite the high failure rate of clinical-stage biotechs [2]. The company successfully raised over $1B in capital to fund operations through 2029, representing a substantial long-term investment commitment. However, these decisions are standard for clinical-stage biotech leadership rather than examples of sacrificing short-term gains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CG Oncology represents a high-conviction, binary biotech catalyst play with near-term regulatory milestones. The BLA filing expected in Q4 2026 for cretostimogene in BCG-unresponsive NMIBC could make it the first approved oncolytic immunotherapy for bladder cancer, addressing a ~$2B+ market with no curative options beyond radical cystectomy (bladder removal) [1][2]. Phase 3 PIVOT-006 topline data in intermediate-risk NMIBC could expand the addressable population significantly. With $1B in cash funding operations through 2029, there is no near-term financing risk [1]. The $6.9B market cap reflects substantial optionality, and a successful BLA approval could drive significant re-rating as the company transitions from clinical-stage to commercial biotech. CEO Kuan's personal mission and 16-year focused execution distinguish CGON from many speculative biotechs.</w:t>
      </w:r>
    </w:p>
    <w:p>
      <w:pPr>
        <w:spacing w:after="120"/>
      </w:pPr>
      <w:r>
        <w:rPr>
          <w:rFonts w:ascii="Calibri" w:hAnsi="Calibri"/>
          <w:b w:val="0"/>
          <w:color w:val="3A4A28"/>
          <w:sz w:val="20"/>
        </w:rPr>
        <w:t>The bear case centers on clinical and regulatory risk. CG Oncology is a single-product company — if cretostimogene fails in the BLA review or in the PIVOT-006 readout, the entire investment thesis collapses [1]. Q2 2026 EPS of -$0.90 missed analyst expectations of -$0.65 by 38%, indicating faster-than-expected cash burn [1]. The $6.9B market cap for a company with $6.23M TTM revenue prices in substantial success probability — any clinical setback could trigger a severe de-rating. The recent COO departure and CEO Kuan's assumption of the President role concentrates operational risk in a single executive. Infrastructure score of 2 reflects the inherent financial weakness of a pre-revenue, loss-making clinical-stage biotech with ROE of -26% and zero profit margin [4]. Competition from BCG alternatives and potential new immunotherapies could erode the first-mover advantage even if approval is achieved.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BLA filing expected Q4 2026 for cretostimogene in high-risk BCG-unresponsive NMIBC — approval would make it the first oncolytic immunotherapy for bladder cancer with a clear path to $2B+ market opportunity [1]</w:t>
      </w:r>
    </w:p>
    <w:p>
      <w:pPr>
        <w:spacing w:before="40" w:after="40"/>
        <w:ind w:left="283"/>
      </w:pPr>
      <w:r>
        <w:rPr>
          <w:rFonts w:ascii="Calibri" w:hAnsi="Calibri"/>
          <w:b/>
          <w:color w:val="4A6B25"/>
          <w:sz w:val="20"/>
        </w:rPr>
        <w:t xml:space="preserve">2. </w:t>
      </w:r>
      <w:r>
        <w:rPr>
          <w:rFonts w:ascii="Calibri" w:hAnsi="Calibri"/>
          <w:b w:val="0"/>
          <w:color w:val="3A4A28"/>
          <w:sz w:val="20"/>
        </w:rPr>
        <w:t>Phase 3 PIVOT-006 topline data anticipated near-term in intermediate-risk NMIBC, which could significantly expand the addressable patient population beyond the BCG-unresponsive segment [1]</w:t>
      </w:r>
    </w:p>
    <w:p>
      <w:pPr>
        <w:spacing w:before="40" w:after="40"/>
        <w:ind w:left="283"/>
      </w:pPr>
      <w:r>
        <w:rPr>
          <w:rFonts w:ascii="Calibri" w:hAnsi="Calibri"/>
          <w:b/>
          <w:color w:val="4A6B25"/>
          <w:sz w:val="20"/>
        </w:rPr>
        <w:t xml:space="preserve">3. </w:t>
      </w:r>
      <w:r>
        <w:rPr>
          <w:rFonts w:ascii="Calibri" w:hAnsi="Calibri"/>
          <w:b w:val="0"/>
          <w:color w:val="3A4A28"/>
          <w:sz w:val="20"/>
        </w:rPr>
        <w:t>Appointment of a dedicated Chief Commercial Officer to build the commercial infrastructure needed for a potential 2027-2028 product launch, signaling the transition from clinical to commercial-stage company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Single-product concentration risk — cretostimogene represents the entire pipeline and revenue potential; a BLA rejection, clinical setback, or safety signal would be catastrophic for the $6.9B market cap [1]</w:t>
      </w:r>
    </w:p>
    <w:p>
      <w:pPr>
        <w:spacing w:before="40" w:after="40"/>
        <w:ind w:left="283"/>
      </w:pPr>
      <w:r>
        <w:rPr>
          <w:rFonts w:ascii="Calibri" w:hAnsi="Calibri"/>
          <w:b/>
          <w:color w:val="4A6B25"/>
          <w:sz w:val="20"/>
        </w:rPr>
        <w:t xml:space="preserve">2. </w:t>
      </w:r>
      <w:r>
        <w:rPr>
          <w:rFonts w:ascii="Calibri" w:hAnsi="Calibri"/>
          <w:b w:val="0"/>
          <w:color w:val="3A4A28"/>
          <w:sz w:val="20"/>
        </w:rPr>
        <w:t>Cash burn rate of approximately $79M per quarter ($316M annually) against $1B cash reserves creates a 3-year operational runway, but any delays in regulatory approval or commercialization could necessitate dilutive financing [1]</w:t>
      </w:r>
    </w:p>
    <w:p>
      <w:pPr>
        <w:spacing w:before="40" w:after="40"/>
        <w:ind w:left="283"/>
      </w:pPr>
      <w:r>
        <w:rPr>
          <w:rFonts w:ascii="Calibri" w:hAnsi="Calibri"/>
          <w:b/>
          <w:color w:val="4A6B25"/>
          <w:sz w:val="20"/>
        </w:rPr>
        <w:t xml:space="preserve">3. </w:t>
      </w:r>
      <w:r>
        <w:rPr>
          <w:rFonts w:ascii="Calibri" w:hAnsi="Calibri"/>
          <w:b w:val="0"/>
          <w:color w:val="3A4A28"/>
          <w:sz w:val="20"/>
        </w:rPr>
        <w:t>CEO Arthur Kuan now holds Chairman, President, and CEO titles after the COO departure, concentrating operational and governance risk in a single individual at a critical pre-commercial juncture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CG Oncology's core business — developing biological therapies through FDA-regulated clinical trials — is structurally protected from AI disruption. The clinical trial process requires physical patient enrollment, surgical procedures (cretostimogene is administered intravesically), biological manufacturing of oncolytic viruses, and multi-year regulatory submissions that AI cannot shortcut [1]. Bladder cancer treatment involves physical-world medical procedures that AI cannot replicate. The regulatory moat is substantial: even if AI accelerates drug discovery for competitors, each new therapy must independently prove safety and efficacy through years of clinical trials. However, AI-enhanced drug discovery could enable faster competitive entries into the bladder cancer space, and AI-guided immunotherapy optimization could eventually challenge single-agent oncolytic approaches. AI Opportunity (0/1): No AI-related revenue or products. CG Oncology is a pure-play biological drug development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CG Oncology Q2 2026 Earnings — Revenue $1.16M, Net Loss $79M, EPS -$0.90, Cash ~$1B, BLA Expected Q4 2026, PIVOT-006 Data Near-Term, August 2026</w:t>
      </w:r>
    </w:p>
    <w:p>
      <w:pPr>
        <w:spacing w:before="20" w:after="20"/>
        <w:ind w:left="170"/>
      </w:pPr>
      <w:r>
        <w:rPr>
          <w:rFonts w:ascii="Calibri" w:hAnsi="Calibri"/>
          <w:b/>
          <w:color w:val="4A6B25"/>
          <w:sz w:val="15"/>
        </w:rPr>
        <w:t xml:space="preserve">2. </w:t>
      </w:r>
      <w:r>
        <w:rPr>
          <w:rFonts w:ascii="Calibri" w:hAnsi="Calibri"/>
          <w:b w:val="0"/>
          <w:color w:val="3A4A28"/>
          <w:sz w:val="17"/>
        </w:rPr>
        <w:t>CG Oncology Corporate Website — Mission Statement, Arthur Kuan Bio (EY Entrepreneur of the Year 2024), COO Departure, Leadership Team,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Bladder Cancer Advocacy Network — Partner in Progress: CG Oncology, Patient Advocacy Partnership, June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CGON Key Statistics: Forward P/E -25.91, D/E 0.86%, ROE -26.41%, Market Cap $6.94B, Avg Volume 933K,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