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CHD</w:t>
      </w:r>
      <w:r>
        <w:rPr>
          <w:rFonts w:ascii="Calibri" w:hAnsi="Calibri"/>
          <w:b/>
          <w:color w:val="1A2010"/>
          <w:sz w:val="40"/>
        </w:rPr>
        <w:t xml:space="preserve">  Church &amp; Dwight Co., Inc.</w:t>
      </w:r>
    </w:p>
    <w:p>
      <w:pPr>
        <w:spacing w:after="120"/>
      </w:pPr>
      <w:r>
        <w:rPr>
          <w:rFonts w:ascii="Calibri" w:hAnsi="Calibri"/>
          <w:b/>
          <w:color w:val="6E8450"/>
          <w:sz w:val="18"/>
        </w:rPr>
        <w:t>DIVIDEND SLEEVE · 2026-10-21 · Inspire: 56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NYQ · United States</w:t>
      </w:r>
    </w:p>
    <w:p>
      <w:pPr>
        <w:spacing w:after="80"/>
      </w:pPr>
      <w:r>
        <w:rPr>
          <w:rFonts w:ascii="Calibri" w:hAnsi="Calibri"/>
          <w:b w:val="0"/>
          <w:color w:val="3A4A28"/>
          <w:sz w:val="20"/>
        </w:rPr>
        <w:t>Church &amp; Dwight develops, manufactures, and markets household, personal care, and specialty products through a portfolio of category-leading niche brands including Arm &amp; Hammer, OxiClean, Trojan, Waterpik, TheraBreath, Batiste, Hero (Mighty Patch), and First Response. The company generates TTM revenue of $6.2B with a 12.0% profit margin across three segments: Consumer Domestic, Consumer International, and Specialty Products. Q2 2026 organic sales grew 5.8% (above 1% outlook), driven by 4.3% volume growth and 1.5% positive price/mix, though reported revenue growth was only 1.6% due to 2025 divestitures [1].</w:t>
      </w:r>
    </w:p>
    <w:p>
      <w:r>
        <w:rPr>
          <w:rFonts w:ascii="Calibri" w:hAnsi="Calibri"/>
          <w:b/>
          <w:color w:val="6E8450"/>
          <w:sz w:val="18"/>
        </w:rPr>
        <w:t>5,550 Employees · https://www.churchdwight.com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CHD has an excellent record of acquiring niche consumer brands and scaling them — Hero Cosmetics (Mighty Patch, acquired 2022), TheraBreath (2021), Waterpik (2017), and Touchland hand sanitizers represent successful entries into new categories with strong growth trajectories [1]. The Hero brand in particular has been a significant growth driver in the acne treatment category. However, these are acquisition-driven rather than organically developed innovations. AI Deployment (0/2): Church &amp; Dwight participated in a 2024 L.E.K. Consulting webinar on AI strategies, indicating executive engagement with the topic, but no specific AI-powered products, measurable cost savings, or AI-driven revenue streams were identified [2]. Market Share (1/2): CHD holds dominant or leading positions in multiple niche categories — Arm &amp; Hammer in baking soda products, OxiClean in stain removers, Trojan in condoms, Waterpik in water flossers — but does not lead any mega-categories that define the consumer staples landscape [1]. Product Pipeline (1/2): The company's pipeline is driven by brand extensions and acquisitions rather than breakthrough product development; Q2 2026 organic growth of 5.8% (above 1% guidance) demonstrates continued momentum from recent acquisitions, but specific named next-generation products with launch dates were not identified [1]. R&amp;D Intensity (0/1): Consumer staples companies typically invest 1-3% of revenue in R&amp;D, below the broader market average; CHD is not a top-quartile R&amp;D spender relative to its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Church &amp; Dwight's culture description — 'champions courage, determination and collaboration' — is a values statement rather than a distinctive purpose or Just Cause. The company does not articulate a compelling vision of why it exists beyond manufacturing and selling consumer products profitably [2]. This is a generic corporate culture description interchangeable with hundreds of similar companies. Community Impact (0/2): No specific charitable programs, foundation activities, or community investment with dollar amounts were identified; the company's sustainability efforts focus on standard ESG reporting rather than distinctive community engagement [3]. Employee Retention (1/2): The smooth CEO transition from longtime executive to Rick Dierker, promoted internally from CFO in 2024, suggests organizational stability and leadership continuity. The board described Dierker as having 'the trust and respect of his peers, the Board and the investment community,' indicating internal culture supports career development [2]. Insider Buying (0/2): No evidence of meaningful net insider buying by CEO Dierker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CHD's balance sheet strength anchors the score: D/E of 55.9% (score 1.0) is well below the 70% target, and ROE of 17.0% (score 1.0) exceeds the 15% threshold [1]. Revenue growth is modest — YoY of 1.6% reported (score 0.72) reflects 2025 divestitures masking organic growth of 5.8% — and the 5-year revenue CAGR of ~5.0% (score 0.67) reflects steady acquisition-driven growth. Forward P/E of 26.3 (score 0.84) reflects a premium valuation for defensive growth, and profit margin of 12.0% (score 0.60) is adequate though below the 20% target. The dividend profile is solid: payout ratio of 38.6% (score 1.0), 37+ consecutive years paid (score 1.0, 2x weight), 28 consecutive years of growth (score 1.0), and a 5-year dividend growth CAGR of 4.0% (score 0.67, 2x weight) [1]. Daily dollar volume of $197M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Church &amp; Dwight operates as a disciplined and effective acquirer of consumer brands, but this is fundamentally a finite game strategy — the company plays to win each acquisition, optimize each brand, and deliver consistent quarterly results rather than advancing a durable cause. The 180-year company history demonstrates remarkable survival instincts, but the lack of a distinctive purpose or transformative ambition keeps CHD in the finite category. The CEO transition to Dierker was smooth, the culture appears stable, and acquisitions have been well-executed, but Sinek would see a company optimizing for total shareholder return rather than building toward a better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Church &amp; Dwight's stated values of 'courage, determination and collaboration' describe how the company operates, not why it exists [2]. The company was founded in 1846 as a baking soda manufacturer and has evolved into a diversified consumer products company through strategic acquisitions. While 180 years of operations demonstrates endurance, the driving purpose appears to be delivering consistent total shareholder return through disciplined brand acquisition and margin management rather than advancing a vision of a better future. There is no articulated Just Cause that would inspire sacrifice or attract talent beyond compensation.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smooth internal CEO succession from Rick Dierker (promoted from CFO, 2024) suggests a stable leadership pipeline and organizational trust at the executive level [2]. The board's explicit statement that Dierker has 'the trust and respect of his peers, the Board and the investment community' signals adequate internal cohesion. The relatively small workforce of 5,550 employees for a $25B market cap company suggests an efficient, lean organization. However, no specific voluntary turnover data, average employee tenure, or employee satisfaction metrics were found to distinguish CHD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acknowledging competitors' strengths or framing competitive dynamics in terms of self-improvement. Church &amp; Dwight's strategic communications focus on their own brand portfolio strength, acquisition pipeline, and organic growth rather than learning from rivals like Procter &amp; Gamble, Henkel, or Reckitt Benckiser.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Church &amp; Dwight has evolved significantly from its origins as a baking soda company to a diversified consumer products portfolio through disciplined acquisitions spanning household care, personal care, and specialty products [1]. The entry into acne treatment (Hero), oral health (TheraBreath, Waterpik), and hand sanitizers (Touchland) demonstrates willingness to enter new categories. However, these are incremental adjacency moves rather than transformative pivots — the company has never fundamentally reinvented its business model or abandoned a profitable core business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CHD demonstrates disciplined capital allocation — acquiring Hero Cosmetics and TheraBreath at reasonable valuations and integrating them successfully while maintaining a conservative balance sheet (D/E 55.9%) [1]. The company also divested underperforming assets in 2025, showing willingness to exit businesses that don't fit the portfolio. These are prudent and effective decisions, but they reflect financial discipline rather than the costly long-term bets or principled stands that Sinek associates with infinite-minded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Church &amp; Dwight at $105.96 delivers steady compounding through a portfolio of category-leading niche brands anchored by Arm &amp; Hammer, OxiClean, Trojan, and high-growth additions like Hero Cosmetics and TheraBreath [1]. Q2 2026 organic sales grew 5.8% (nearly 6x the company's 1% outlook), driven by strong volume growth of 4.3%, prompting raised full-year guidance to $6.20-$6.27B revenue and $3.74-$3.81 adjusted EPS [1]. The balance sheet is conservatively managed at 55.9% D/E with $939M in free cash flow funding both the 28-year dividend growth streak and the acquisition pipeline. Infrastructure scores well on payout ratio (38.6%), dividend consistency, and capital efficiency (17% ROE), while the defensive product portfolio provides recession resistance.</w:t>
      </w:r>
    </w:p>
    <w:p>
      <w:pPr>
        <w:spacing w:after="120"/>
      </w:pPr>
      <w:r>
        <w:rPr>
          <w:rFonts w:ascii="Calibri" w:hAnsi="Calibri"/>
          <w:b w:val="0"/>
          <w:color w:val="3A4A28"/>
          <w:sz w:val="20"/>
        </w:rPr>
        <w:t>The bear case centers on premium valuation and modest growth. At 26.3x forward earnings and a PEG of 2.94, CHD is priced as a premium compounder but delivers only low-single-digit reported revenue growth (1.6% YoY), with the organic strength masked by divestitures [1]. The 5-year revenue CAGR of ~5% is acquisition-dependent, and the company's growth model requires continued successful deal-making to supplement modest organic growth in mature consumer categories. Profit margin of 12.0% is below the 20% target for the framework and significantly trails more profitable CPG peers like Procter &amp; Gamble or Colgate. The 1.16% dividend yield offers minimal income for a Dividend sleeve stock, and the 4.0% five-year dividend growth CAGR barely exceeds inflation [1]. Private-label competition in commodity categories (laundry, cleaning) is an ongoing margin headwind, and a shareholder proposal on plastic packaging signals growing scrutiny of the company's environmental footprint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sales acceleration — Q2 2026 organic growth of 5.8% (triple the 2% full-year guidance at the start of the year) driven by Hero Cosmetics, TheraBreath, and Waterpik volume growth, with raised full-year organic growth guidance of 4-5% [1]</w:t>
      </w:r>
    </w:p>
    <w:p>
      <w:pPr>
        <w:spacing w:before="40" w:after="40"/>
        <w:ind w:left="283"/>
      </w:pPr>
      <w:r>
        <w:rPr>
          <w:rFonts w:ascii="Calibri" w:hAnsi="Calibri"/>
          <w:b/>
          <w:color w:val="4A6B25"/>
          <w:sz w:val="20"/>
        </w:rPr>
        <w:t xml:space="preserve">2. </w:t>
      </w:r>
      <w:r>
        <w:rPr>
          <w:rFonts w:ascii="Calibri" w:hAnsi="Calibri"/>
          <w:b w:val="0"/>
          <w:color w:val="3A4A28"/>
          <w:sz w:val="20"/>
        </w:rPr>
        <w:t>Acquisition-driven growth pipeline — CHD's track record of buying niche brands at reasonable valuations (Hero, TheraBreath, Waterpik, Touchland) and scaling them through its distribution network provides a repeatable growth algorithm [1]</w:t>
      </w:r>
    </w:p>
    <w:p>
      <w:pPr>
        <w:spacing w:before="40" w:after="40"/>
        <w:ind w:left="283"/>
      </w:pPr>
      <w:r>
        <w:rPr>
          <w:rFonts w:ascii="Calibri" w:hAnsi="Calibri"/>
          <w:b/>
          <w:color w:val="4A6B25"/>
          <w:sz w:val="20"/>
        </w:rPr>
        <w:t xml:space="preserve">3. </w:t>
      </w:r>
      <w:r>
        <w:rPr>
          <w:rFonts w:ascii="Calibri" w:hAnsi="Calibri"/>
          <w:b w:val="0"/>
          <w:color w:val="3A4A28"/>
          <w:sz w:val="20"/>
        </w:rPr>
        <w:t>Conservative balance sheet (55.9% D/E, $939M FCF) provides dry powder for additional acquisitions while sustaining the 28-year dividend growth streak and low 38.6% payout ratio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(26.3x forward P/E, PEG 2.94) provides limited margin of safety — any acquisition misstep, organic growth disappointment, or earnings miss could trigger a re-rating given the stock already trades at a significant premium to the consumer staples sector [1]</w:t>
      </w:r>
    </w:p>
    <w:p>
      <w:pPr>
        <w:spacing w:before="40" w:after="40"/>
        <w:ind w:left="283"/>
      </w:pPr>
      <w:r>
        <w:rPr>
          <w:rFonts w:ascii="Calibri" w:hAnsi="Calibri"/>
          <w:b/>
          <w:color w:val="4A6B25"/>
          <w:sz w:val="20"/>
        </w:rPr>
        <w:t xml:space="preserve">2. </w:t>
      </w:r>
      <w:r>
        <w:rPr>
          <w:rFonts w:ascii="Calibri" w:hAnsi="Calibri"/>
          <w:b w:val="0"/>
          <w:color w:val="3A4A28"/>
          <w:sz w:val="20"/>
        </w:rPr>
        <w:t>Acquisition dependency for growth — the company's growth model relies on continued deal-making in a competitive M&amp;A environment where valuations for consumer brands have compressed, and integration risk rises with each new addition [1]</w:t>
      </w:r>
    </w:p>
    <w:p>
      <w:pPr>
        <w:spacing w:before="40" w:after="40"/>
        <w:ind w:left="283"/>
      </w:pPr>
      <w:r>
        <w:rPr>
          <w:rFonts w:ascii="Calibri" w:hAnsi="Calibri"/>
          <w:b/>
          <w:color w:val="4A6B25"/>
          <w:sz w:val="20"/>
        </w:rPr>
        <w:t xml:space="preserve">3. </w:t>
      </w:r>
      <w:r>
        <w:rPr>
          <w:rFonts w:ascii="Calibri" w:hAnsi="Calibri"/>
          <w:b w:val="0"/>
          <w:color w:val="3A4A28"/>
          <w:sz w:val="20"/>
        </w:rPr>
        <w:t>Private-label competition in commodity categories (laundry detergent, cleaning products, baking soda) pressures margins and volume in Arm &amp; Hammer and XTRA brands as retailers expand store-brand offerings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Church &amp; Dwight's core business — manufacturing and distributing physical consumer products including laundry detergent, baking soda, personal care items, water flossers, and condoms — is structurally immune to AI substitution [1]. These are essential physical goods that consumers purchase repeatedly regardless of technological advancement. AI cannot replace the need for Arm &amp; Hammer baking soda, OxiClean stain remover, or Trojan condoms. The distribution model through supermarkets, mass merchandisers, and e-commerce channels has minimal AI substitution risk. AI could enhance CHD's marketing, supply chain, and product development efficiency, but poses no existential threat to demand for its products. The minor vulnerability is that AI-powered marketing tools could lower barriers to entry for private-label competitors. AI Opportunity (0/1): Church &amp; Dwight does not generate any identifiable revenue from AI products or services; AI's role is limited to potential internal efficiency gains in marketing and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Church &amp; Dwight Q2 2026 Earnings Release — Net Sales $1,530M (+1.6%), Organic Growth 5.8%, Adjusted EPS $0.89, Raised FY2026 Guidance, SEC 8-K Filing and Barchart, July 2026</w:t>
      </w:r>
    </w:p>
    <w:p>
      <w:pPr>
        <w:spacing w:before="20" w:after="20"/>
        <w:ind w:left="170"/>
      </w:pPr>
      <w:r>
        <w:rPr>
          <w:rFonts w:ascii="Calibri" w:hAnsi="Calibri"/>
          <w:b/>
          <w:color w:val="4A6B25"/>
          <w:sz w:val="15"/>
        </w:rPr>
        <w:t xml:space="preserve">2. </w:t>
      </w:r>
      <w:r>
        <w:rPr>
          <w:rFonts w:ascii="Calibri" w:hAnsi="Calibri"/>
          <w:b w:val="0"/>
          <w:color w:val="3A4A28"/>
          <w:sz w:val="17"/>
        </w:rPr>
        <w:t>Church &amp; Dwight Leadership and Culture — CEO Rick Dierker transition from CFO (2024), innovation approach, L.E.K. AI webinar participation, PDMA culture profile, Chain Drug Review, 2024-2026</w:t>
      </w:r>
    </w:p>
    <w:p>
      <w:pPr>
        <w:spacing w:before="20" w:after="20"/>
        <w:ind w:left="170"/>
      </w:pPr>
      <w:r>
        <w:rPr>
          <w:rFonts w:ascii="Calibri" w:hAnsi="Calibri"/>
          <w:b/>
          <w:color w:val="4A6B25"/>
          <w:sz w:val="15"/>
        </w:rPr>
        <w:t xml:space="preserve">3. </w:t>
      </w:r>
      <w:r>
        <w:rPr>
          <w:rFonts w:ascii="Calibri" w:hAnsi="Calibri"/>
          <w:b w:val="0"/>
          <w:color w:val="3A4A28"/>
          <w:sz w:val="17"/>
        </w:rPr>
        <w:t>Church &amp; Dwight ESG — Sustainalytics ESG Risk Rating 21.6 (Medium), controversy level 1.0, withdrawn shareholder proposal on plastic packaging, Yahoo Finance Sustainability,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