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CHRS</w:t>
      </w:r>
      <w:r>
        <w:rPr>
          <w:rFonts w:ascii="Calibri" w:hAnsi="Calibri"/>
          <w:b/>
          <w:color w:val="1A2010"/>
          <w:sz w:val="40"/>
        </w:rPr>
        <w:t xml:space="preserve">  Coherus Oncology, Inc.</w:t>
      </w:r>
    </w:p>
    <w:p>
      <w:pPr>
        <w:spacing w:after="120"/>
      </w:pPr>
      <w:r>
        <w:rPr>
          <w:rFonts w:ascii="Calibri" w:hAnsi="Calibri"/>
          <w:b/>
          <w:color w:val="6E8450"/>
          <w:sz w:val="18"/>
        </w:rPr>
        <w:t>GROWTH SLEEVE · 2026-09-10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Coherus Oncology (formerly Coherus BioSciences, renamed May 2025) is a commercial-stage oncology company focused on developing and commercializing novel cancer therapies. Key commercial product is LOQTORZI (toripalimab), a PD-1 checkpoint inhibitor approved for nasopharyngeal carcinoma, with growing revenue up 61% YoY in Q1 2026. Pipeline includes casdozokitug (anti-IL-27 antibody) showing 38% overall response rate in hepatocellular carcinoma and tagmokitug across multiple solid tumor indications. The company divested its UDENYCA (pegfilgrastim biosimilar) franchise to Intas Pharmaceuticals for $560M in 2024-2025 to fund its strategic pivot to oncology. Cash position of $105.3M as of June 2026 with approximately 12 months of runway.</w:t>
      </w:r>
    </w:p>
    <w:p>
      <w:r>
        <w:rPr>
          <w:rFonts w:ascii="Calibri" w:hAnsi="Calibri"/>
          <w:b/>
          <w:color w:val="6E8450"/>
          <w:sz w:val="18"/>
        </w:rPr>
        <w:t>250 Employees · https://www.coherus.com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Coherus successfully commercialized UDENYCA (pegfilgrastim biosimilar) and achieved FDA approval for LOQTORZI, demonstrating regulatory and commercial execution capability [2]. However, LOQTORZI revenue remains small ($14.3M in Q2 2026), market penetration in the PD-1 space is minimal versus Keytruda and Opdivo, and the UDENYCA divestiture eliminated the company's primary revenue source. The strategic pivot to oncology is bold but unproven at scale. AI Deployment (0/2): No evidence of AI deployment in drug development, clinical trial design, biomarker identification, or commercial operations. The company's small size and cash constraints limit technology investment. Market Share (0/2): LOQTORZI holds negligible market share in the massive PD-1/PD-L1 inhibitor market dominated by Merck's Keytruda ($25B+ annual revenue) and BMS's Opdivo. The nasopharyngeal carcinoma niche is small, and expansion into larger indications (HCC, lung) faces intense competition from established checkpoint inhibitors [1]. Pipeline (2/2): The pipeline is the strongest aspect of the innovation profile. Casdozokitug (anti-IL-27 antibody) demonstrated a 38% overall response rate as part of a triple therapy in hepatocellular carcinoma, a compelling clinical signal in a difficult-to-treat cancer [3]. Tagmokitug adds a second clinical-stage candidate, and LOQTORZI expansion into additional indications provides near-term revenue growth potential. Multiple pivotal trial decisions expected in 2026. R&amp;D Intensity (1/1): R&amp;D spending is high relative to revenue, as expected for a clinical-stage biotech pursuing multiple oncology indications with ongoing Phase 2/3 trials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Fighting cancer through innovative oncology therapeutics is an inherently meaningful purpose, and the company's willingness to divest its profitable biosimilar business to focus entirely on oncology suggests genuine commitment to this cause rather than purely financial motivation [2]. However, the mission is not uniquely differentiated — hundreds of biotech companies pursue oncology, and Coherus has not articulated a distinctive vision for patient impact beyond standard commercial drug development. Community Impact (1/2): LOQTORZI patient access programs demonstrate commitment to making cancer treatment available, consistent with the oncology focus. However, no large-scale community investment or social impact programs were identified. Employee Retention (1/2): CEO Denny Lanfear's 15+ year tenure (since September 2010) provides exceptional leadership stability, which is unusual in small-cap biotech and suggests organizational commitment [2]. However, the company has experienced significant workforce changes associated with the UDENYCA divestiture and oncology pivot, and no specific retention metrics are available. Insider Buying (0/2): No evidence of meaningful net insider buying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Coherus is a pre-profit biotech with most financial metrics severely negative or not applicable. Revenue growth YoY of 40% (Q2 2026 vs Q2 2025) is the sole bright spot, scoring 1.0 on the revenue growth metric [1]. All other Growth sleeve metrics score zero: ROE of -198.9% reflects deep ongoing losses against a small equity base (2x weight) [4]; profit margin is deeply negative as the company lost $33.3M on $14.3M in Q2 revenue; forward P/E and PEG ratio are not applicable for a loss-making company; and 5-year revenue CAGR is not meaningful given the complete business transformation from biosimilars to oncology [2]. The balance sheet has improved significantly from the UDENYCA divestiture — debt reduced by 90% to $38.8M and cash of $105.3M — but the burn rate of approximately $67M in H1 2026 leaves only about 12 months of runway, creating existential financing risk [4]. Daily dollar volume of approximately $2.7M (1.67M shares x $1.64) barely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Coherus operates primarily in finite game mode — the company is in a survival race to reach profitability before its 12-month cash runway expires, with $105.3M in cash against quarterly losses of $30-35M. The bold strategic pivot from biosimilars to oncology shows some infinite game thinking (sacrificing current revenue for long-term potential), but the execution urgency and potential dilution risk create a finite-game dynamic where quarterly milestones and cash preservation dominate strategic decisions.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Fighting cancer through innovative oncology therapies is an inherently noble cause, and the willingness to divest a $560M biosimilar franchise to pursue it suggests conviction beyond pure financial calculation [2]. However, Coherus has not articulated a distinctive vision for oncology that differentiates it from hundreds of other biotech companies pursuing cancer drugs. The cause — better cancer treatments — is universally shared rather than uniquely owned.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Limited evidence of organizational trust culture. The company's small size (~250 employees) and the workforce disruption from the UDENYCA divestiture and business transformation create challenges for building deep organizational trust [2]. Board member Mark Stolper's decision not to stand for re-election in 2025 suggests some governance flux. No employee engagement data, retention metrics, or cultural initiatives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Coherus competes against formidable opponents in the checkpoint inhibitor space — Merck (Keytruda, $25B+ revenue), BMS (Opdivo), and Roche (Tecentriq). However, no evidence suggests the company frames these competitors as worthy rivals in the Sinek sense, learning from their strengths rather than simply trying to carve out a niche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Coherus BioSciences (a biosimilar company) to Coherus Oncology (a novel therapeutics company) is a genuine existential transformation — the company sold its primary revenue-generating asset ($560M UDENYCA franchise) to fund a complete strategic reinvention [2]. This is the kind of fundamental business model change that Sinek describes. However, the pivot was partly forced by competitive pressure in the biosimilar market, and the execution risk (12 months of runway, micro-cap status) raises questions about whether this was courageous or desperate.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a $560M biosimilar franchise — the company's primary revenue source — to fund an oncology pipeline with uncertain outcomes demonstrates genuine courage to sacrifice the present for the future [2]. CEO Lanfear's 15+ year tenure through this transformation shows personal commitment. However, the company's precarious financial position (12 months of runway, likely dilutive financing ahead) suggests the courage may have been insufficient — a bolder approach might have retained more of the UDENYCA proceeds to extend the runway rather than aggressively investing in multiple pipeline programs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Coherus Oncology at $1.64 and $190M market cap is a high-risk, high-reward oncology bet with a promising but early-stage pipeline. LOQTORZI revenue is growing rapidly — up 61% YoY in Q1 2026 with Q2 revenue of $14.3M (+40% YoY) — and the casdozokitug anti-IL-27 data (38% ORR in HCC triple therapy) represents a genuinely differentiated mechanism of action in a large cancer indication [1][3]. The company has cleaned up its balance sheet through the $560M UDENYCA divestiture, reducing debt by 90% to $38.8M, and the ALIGNED Inspire Impact Score of 42 with zero negative attributions is a positive for faith-based investors.</w:t>
      </w:r>
    </w:p>
    <w:p>
      <w:pPr>
        <w:spacing w:after="120"/>
      </w:pPr>
      <w:r>
        <w:rPr>
          <w:rFonts w:ascii="Calibri" w:hAnsi="Calibri"/>
          <w:b w:val="0"/>
          <w:color w:val="3A4A28"/>
          <w:sz w:val="20"/>
        </w:rPr>
        <w:t>The bear case is severe and centers on existential financing risk. Cash of $105.3M against a burn rate of approximately $67M in H1 2026 leaves roughly 12 months of runway — insufficient to fund the pipeline through pivotal trial readouts without additional capital raises that will likely be heavily dilutive at the current micro-cap valuation [4]. LOQTORZI's $57M annualized revenue is a rounding error versus Keytruda's $25B+, and penetrating the highly competitive PD-1 market in larger indications (HCC, lung) requires commercial infrastructure spending that the company cannot afford. The stock trades at $1.64, putting it at risk of NASDAQ delisting if it falls below $1.00 for an extended period. Forward P/E and PEG ratios are not calculable for a company losing $0.22 per share per quarter. The company does not own the underlying LOQTORZI molecule (licensed from Junshi Biosciences), limiting strategic flexibility. While casdozokitug's HCC data is promising, it is Phase 2 data in a small trial, and biotech history is littered with promising early data that failed in pivotal trials.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Casdozokitug (anti-IL-27) pivotal trial decisions in 2026, with Phase 2 data showing 38% ORR in HCC triple therapy providing a compelling basis for registration-directed studies in a large indication [3]</w:t>
      </w:r>
    </w:p>
    <w:p>
      <w:pPr>
        <w:spacing w:before="40" w:after="40"/>
        <w:ind w:left="283"/>
      </w:pPr>
      <w:r>
        <w:rPr>
          <w:rFonts w:ascii="Calibri" w:hAnsi="Calibri"/>
          <w:b/>
          <w:color w:val="4A6B25"/>
          <w:sz w:val="20"/>
        </w:rPr>
        <w:t xml:space="preserve">2. </w:t>
      </w:r>
      <w:r>
        <w:rPr>
          <w:rFonts w:ascii="Calibri" w:hAnsi="Calibri"/>
          <w:b w:val="0"/>
          <w:color w:val="3A4A28"/>
          <w:sz w:val="20"/>
        </w:rPr>
        <w:t>LOQTORZI revenue trajectory toward $60-80M annualized (Q2 run rate of $57M accelerating), with expansion into new indications potentially unlocking additional market share [1]</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partnership or licensing deal to monetize the anti-IL-27 mechanism or inject non-dilutive capital to extend the cash runway beyond 12 months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financing risk with approximately 12 months of cash runway ($105.3M cash, $67M H1 burn), likely requiring dilutive capital raise at micro-cap valuation that could destroy existing shareholder value [4]</w:t>
      </w:r>
    </w:p>
    <w:p>
      <w:pPr>
        <w:spacing w:before="40" w:after="40"/>
        <w:ind w:left="283"/>
      </w:pPr>
      <w:r>
        <w:rPr>
          <w:rFonts w:ascii="Calibri" w:hAnsi="Calibri"/>
          <w:b/>
          <w:color w:val="4A6B25"/>
          <w:sz w:val="20"/>
        </w:rPr>
        <w:t xml:space="preserve">2. </w:t>
      </w:r>
      <w:r>
        <w:rPr>
          <w:rFonts w:ascii="Calibri" w:hAnsi="Calibri"/>
          <w:b w:val="0"/>
          <w:color w:val="3A4A28"/>
          <w:sz w:val="20"/>
        </w:rPr>
        <w:t>LOQTORZI competes in the most crowded oncology category (PD-1/PD-L1 inhibitors) against Keytruda ($25B+ revenue) and Opdivo, with no clear differentiation in larger tumor types [1]</w:t>
      </w:r>
    </w:p>
    <w:p>
      <w:pPr>
        <w:spacing w:before="40" w:after="40"/>
        <w:ind w:left="283"/>
      </w:pPr>
      <w:r>
        <w:rPr>
          <w:rFonts w:ascii="Calibri" w:hAnsi="Calibri"/>
          <w:b/>
          <w:color w:val="4A6B25"/>
          <w:sz w:val="20"/>
        </w:rPr>
        <w:t xml:space="preserve">3. </w:t>
      </w:r>
      <w:r>
        <w:rPr>
          <w:rFonts w:ascii="Calibri" w:hAnsi="Calibri"/>
          <w:b w:val="0"/>
          <w:color w:val="3A4A28"/>
          <w:sz w:val="20"/>
        </w:rPr>
        <w:t>Pre-profit biotech with no forward P/E or PEG calculable, negative ROE of -198.9%, and stock at $1.64 — at risk of NASDAQ minimum price delisting requirements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Biotech drug development retains significant protection from AI disruption — clinical trials, regulatory approval, manufacturing of biological molecules, and physician-patient prescribing relationships cannot be automated [2]. However, Coherus faces meaningful indirect AI risk: larger competitors (Merck, BMS, Roche) are deploying AI to accelerate drug discovery, optimize clinical trial design, and identify biomarkers, which could produce superior competing therapies faster and at lower cost. Coherus's LOQTORZI is licensed from Junshi Biosciences (China), meaning the company does not own the underlying science and cannot leverage AI to improve the drug itself. The company's small scale (~250 employees, $57M annualized revenue) limits its ability to invest in AI-powered drug development or commercial analytics. The pre-profit status and 12-month cash runway create a fragility that compounds any competitive threat. AI Opportunity (1/1): Coherus could potentially deploy AI in clinical trial design, patient stratification, and biomarker-driven indication selection for casdozokitug and tagmokitug, though no evidence of current AI initiatives was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Coherus Oncology Q2 2026 Earnings — EPS -$0.22 (beat -$0.28 est), revenue $14.3M (+40% YoY), net loss $33.3M, MarketBeat/GuruFocus, August 2026</w:t>
      </w:r>
    </w:p>
    <w:p>
      <w:pPr>
        <w:spacing w:before="20" w:after="20"/>
        <w:ind w:left="170"/>
      </w:pPr>
      <w:r>
        <w:rPr>
          <w:rFonts w:ascii="Calibri" w:hAnsi="Calibri"/>
          <w:b/>
          <w:color w:val="4A6B25"/>
          <w:sz w:val="15"/>
        </w:rPr>
        <w:t xml:space="preserve">2. </w:t>
      </w:r>
      <w:r>
        <w:rPr>
          <w:rFonts w:ascii="Calibri" w:hAnsi="Calibri"/>
          <w:b w:val="0"/>
          <w:color w:val="3A4A28"/>
          <w:sz w:val="17"/>
        </w:rPr>
        <w:t>Coherus Strategic Transformation — UDENYCA divestiture to Intas for $560M ($483M upfront), rebranding to Coherus Oncology, SEC Form 8-K, April-May 2025</w:t>
      </w:r>
    </w:p>
    <w:p>
      <w:pPr>
        <w:spacing w:before="20" w:after="20"/>
        <w:ind w:left="170"/>
      </w:pPr>
      <w:r>
        <w:rPr>
          <w:rFonts w:ascii="Calibri" w:hAnsi="Calibri"/>
          <w:b/>
          <w:color w:val="4A6B25"/>
          <w:sz w:val="15"/>
        </w:rPr>
        <w:t xml:space="preserve">3. </w:t>
      </w:r>
      <w:r>
        <w:rPr>
          <w:rFonts w:ascii="Calibri" w:hAnsi="Calibri"/>
          <w:b w:val="0"/>
          <w:color w:val="3A4A28"/>
          <w:sz w:val="17"/>
        </w:rPr>
        <w:t>Coherus Pipeline — Casdozokitug 38% ORR in HCC triple therapy, LOQTORZI +61% YoY Q1 sales growth, tagmokitug advancing, Q1 2026 Earnings, May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GuruFocus — CHRS key statistics: Market Cap $220M, cash $105.3M, debt $38.8M, ROE -198.9%, 12-month runway estimate,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