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CIA</w:t>
      </w:r>
      <w:r>
        <w:rPr>
          <w:rFonts w:ascii="Calibri" w:hAnsi="Calibri"/>
          <w:b/>
          <w:color w:val="1A2010"/>
          <w:sz w:val="40"/>
        </w:rPr>
        <w:t xml:space="preserve">  Citizens, Inc.</w:t>
      </w:r>
    </w:p>
    <w:p>
      <w:pPr>
        <w:spacing w:after="120"/>
      </w:pPr>
      <w:r>
        <w:rPr>
          <w:rFonts w:ascii="Calibri" w:hAnsi="Calibri"/>
          <w:b/>
          <w:color w:val="6E8450"/>
          <w:sz w:val="18"/>
        </w:rPr>
        <w:t>GROWTH SLEEVE · 2026-10-12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Life · NYSE · United States</w:t>
      </w:r>
    </w:p>
    <w:p>
      <w:pPr>
        <w:spacing w:after="80"/>
      </w:pPr>
      <w:r>
        <w:rPr>
          <w:rFonts w:ascii="Calibri" w:hAnsi="Calibri"/>
          <w:b w:val="0"/>
          <w:color w:val="3A4A28"/>
          <w:sz w:val="20"/>
        </w:rPr>
        <w:t>Citizens, Inc. is an insurance holding company headquartered in Austin, Texas, operating through two segments: Life Insurance (domestic whole and term life policies) and Home Service Insurance (international dollar-denominated life insurance sold primarily in Latin America). Q1 FY2026 total revenues were $59.7M (+7% YoY) with $2.3M net income, but Q2 FY2026 revenues declined to $60.4M from $65.1M year-ago with a $0.4M net loss, driven by weaker persistency in the domestic segment and lapsed international policies. The company has achieved 15 consecutive quarters of first-year premium growth, indicating distribution traction despite overall revenue headwinds.</w:t>
      </w:r>
    </w:p>
    <w:p>
      <w:r>
        <w:rPr>
          <w:rFonts w:ascii="Calibri" w:hAnsi="Calibri"/>
          <w:b/>
          <w:color w:val="6E8450"/>
          <w:sz w:val="18"/>
        </w:rPr>
        <w:t>https://www.citizensinc.com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Citizens Inc has achieved 15 consecutive quarters of year-over-year first-year premium growth, demonstrating sustained distribution expansion in both its domestic and international insurance segments [1][2]. However, this is incremental distribution success within the same product lines (whole life, term life), not a new product launch or business model transformation. No meaningful pivots or new market entries in the last five years. AI Deployment (0/2): No evidence of AI-powered products, AI-enhanced underwriting, or quantified AI-driven cost savings. The company's technology stack appears traditional for a small insurance holding company. Market Share (0/2): Citizens Inc is a micro-cap insurer ($176M market cap) competing against industry giants like MetLife, Prudential, and AIG. No evidence of category leadership or meaningful share gains in any segment. Product Pipeline (0/2): No next-generation products announced with specific timelines. Insurance product innovation is limited to policy structure adjustments rather than transformative offerings. R&amp;D Intensity (0/1): Insurance companies do not have traditional R&amp;D functions, and no evidence of above-peer investment in technology or actuarial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Citizens Inc's purpose — providing life insurance and financial protection — is generic and interchangeable with any insurer in the industry. The company's proxy statements reference governance, social, and environmental oversight, but no distinctive mission or purpose statement was identified that differentiates Citizens from peers or articulates a vision beyond selling insurance products [4]. Community Impact (0/2): The company made its first investment in a wind/solar energy private equity fund in 2020 and lists environmental stewardship in its proxy disclosures, but no specific charitable programs, foundation work, or community investment with dollar amounts were identified [4]. Employee Retention (0/2): No Glassdoor reviews or employee retention data surfaced for Citizens, Inc. (search results returned data for the unrelated Citizens Financial Group bank).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(127,014) x stock_price ($3.47) = $440,739, below the $1,000,000 minimum. Infrastructure score forced to 0. For reference, the underlying fundamentals are mixed: Forward P/E of 17.35 is reasonable for a life insurer [1][2]. ROE of 5.0% is well below the 15% target, reflecting the thin profitability typical of small insurance companies. Revenue growth YoY of -7.2% reflects lapsing policies offsetting new premium growth. Profit margin of 4.5% is low but consistent with the insurance industry. D/E is unavailable (insurance companies carry policy reserves that complicate traditional leverage metrics). Without the liquidity floor, the Growth stock calculation on available metrics would yield approximately 5/10.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Citizens, Inc. displays a predominantly finite game orientation. The company has operated as a small life insurer for decades but without evidence of a distinctive Just Cause that differentiates it from peers or inspires employees and agents beyond financial incentives [4]. The 15 consecutive quarters of first-year premium growth show operational consistency, but Q2 2026 revenue declined 7.2% as lapsing policies eroded the new business gains [1][2]. Sinek would ask: what is this company playing for? The answer appears to be survival and incremental growth within a commodity insurance market rather than advancing a vision of a better future. The lack of courageous strategic bets, the absence of employee culture data, and the generic industry positioning all point to a company playing not to lose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Providing life insurance and financial security to families — particularly through dollar-denominated policies in Latin America — serves a genuine social need. However, this purpose is shared by every life insurer in the market and is not articulated as a transformative vision in the company's public communications [4]. The proxy statements reference governance and social responsibility but frame them as compliance-driven rather than purpose-driven.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reviews, culture data, or retention metrics surfaced for Citizens, Inc. The company is a small insurance holding company likely employing a few hundred people, but the absence of any public employee sentiment data (positive or negative) prevents scoring. No Glassdoor reviews exist for Citizens, Inc. specifically; search results returned data for the unrelated Citizens Financial Group.</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Management commentary in earnings releases focuses on premium growth metrics and revenue performance rather than referencing competitors' strengths or articulating how competitive dynamics drive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Citizens Inc operates across both domestic and international insurance markets, with the international segment providing dollar-denominated life insurance primarily in Latin America. This geographic diversification represents some strategic flexibility, and the company's 2020 entry into a wind/solar energy investment fund shows incremental willingness to evolve its investment approach [4]. However, these are modest adaptations rather than transformative pivots.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strategic bets. Q2 2026 showed revenue declining to $60.4M from $65.1M with a net loss of $0.4M, and management's response centered on the first-year premium growth streak rather than bold strategic initiatives [2]. The company appears to be managing its existing business model incrementally rather than investing ahead of the curve or making difficult long-term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Citizens, Inc. at $3.47 with a $176M market cap is a micro-cap life insurance holding company that has demonstrated distribution traction (15 consecutive quarters of first-year premium growth) but faces deteriorating overall revenue and profitability [1][2]. Q1 FY2026 revenue grew 7% to $59.7M with $2.3M net income, but Q2 revenue fell to $60.4M from $65.1M with a $0.4M net loss as weaker policy persistency and international lapses offset new business growth. The forward P/E of 17.35 is reasonable for a profitable insurer, and the company maintains adequate capital reserves for its regulatory requirements.</w:t>
      </w:r>
    </w:p>
    <w:p>
      <w:pPr>
        <w:spacing w:after="120"/>
      </w:pPr>
      <w:r>
        <w:rPr>
          <w:rFonts w:ascii="Calibri" w:hAnsi="Calibri"/>
          <w:b w:val="0"/>
          <w:color w:val="3A4A28"/>
          <w:sz w:val="20"/>
        </w:rPr>
        <w:t>The SELL recommendation is driven primarily by the liquidity floor failure — daily dollar volume of $441K is far below the $1M IOWN minimum, making the stock effectively untradeable for any portfolio of meaningful size. Beyond liquidity, the fundamental story is a small insurer losing existing policyholders faster than it can acquire new ones, with Q2 2026 total revenue declining 7.2% despite the premium growth streak. ROE of 5.0% and profit margin of 4.5% indicate thin profitability that provides no cushion against claims volatility or competitive pressure from better-capitalized peers and AI-powered insurtechs. The company has no innovation pipeline, no AI strategy, no distinctive mission, and no evidence of the kind of strategic vision that would justify paying for a turnaround. The faith alignment is positive (Inspire score 33, ALIGNED), but this display-only metric cannot offset the quantitative and qualitative deficiencies across all three scoring dimensions.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15 consecutive quarters of first-year premium growth demonstrates sustained distribution network expansion in both domestic and international segments — if persistency stabilizes, overall revenue could return to growth [1][2]</w:t>
      </w:r>
    </w:p>
    <w:p>
      <w:pPr>
        <w:spacing w:before="40" w:after="40"/>
        <w:ind w:left="283"/>
      </w:pPr>
      <w:r>
        <w:rPr>
          <w:rFonts w:ascii="Calibri" w:hAnsi="Calibri"/>
          <w:b/>
          <w:color w:val="4A6B25"/>
          <w:sz w:val="20"/>
        </w:rPr>
        <w:t xml:space="preserve">2. </w:t>
      </w:r>
      <w:r>
        <w:rPr>
          <w:rFonts w:ascii="Calibri" w:hAnsi="Calibri"/>
          <w:b w:val="0"/>
          <w:color w:val="3A4A28"/>
          <w:sz w:val="20"/>
        </w:rPr>
        <w:t>Forward P/E of 17.35 with positive trailing earnings provides a floor valuation anchored in actual profitability — Q4 2025 EPS of $0.14 beat estimates, showing capacity for earnings surprises [3]</w:t>
      </w:r>
    </w:p>
    <w:p>
      <w:pPr>
        <w:spacing w:before="40" w:after="40"/>
        <w:ind w:left="283"/>
      </w:pPr>
      <w:r>
        <w:rPr>
          <w:rFonts w:ascii="Calibri" w:hAnsi="Calibri"/>
          <w:b/>
          <w:color w:val="4A6B25"/>
          <w:sz w:val="20"/>
        </w:rPr>
        <w:t xml:space="preserve">3. </w:t>
      </w:r>
      <w:r>
        <w:rPr>
          <w:rFonts w:ascii="Calibri" w:hAnsi="Calibri"/>
          <w:b w:val="0"/>
          <w:color w:val="3A4A28"/>
          <w:sz w:val="20"/>
        </w:rPr>
        <w:t>International dollar-denominated life insurance in Latin America provides exposure to underinsured markets with structural growth potential as middle-class populations expand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FY2026 total revenue fell 7.2% to $60.4M with a $0.4M net loss — weaker policy persistency and international lapses are eroding the customer base faster than new premiums replace it [2]</w:t>
      </w:r>
    </w:p>
    <w:p>
      <w:pPr>
        <w:spacing w:before="40" w:after="40"/>
        <w:ind w:left="283"/>
      </w:pPr>
      <w:r>
        <w:rPr>
          <w:rFonts w:ascii="Calibri" w:hAnsi="Calibri"/>
          <w:b/>
          <w:color w:val="4A6B25"/>
          <w:sz w:val="20"/>
        </w:rPr>
        <w:t xml:space="preserve">2. </w:t>
      </w:r>
      <w:r>
        <w:rPr>
          <w:rFonts w:ascii="Calibri" w:hAnsi="Calibri"/>
          <w:b w:val="0"/>
          <w:color w:val="3A4A28"/>
          <w:sz w:val="20"/>
        </w:rPr>
        <w:t>Daily dollar volume of $441K fails the IOWN $1M liquidity floor — the stock is too illiquid for institutional portfolio construction, limiting price discovery and creating significant exit risk</w:t>
      </w:r>
    </w:p>
    <w:p>
      <w:pPr>
        <w:spacing w:before="40" w:after="40"/>
        <w:ind w:left="283"/>
      </w:pPr>
      <w:r>
        <w:rPr>
          <w:rFonts w:ascii="Calibri" w:hAnsi="Calibri"/>
          <w:b/>
          <w:color w:val="4A6B25"/>
          <w:sz w:val="20"/>
        </w:rPr>
        <w:t xml:space="preserve">3. </w:t>
      </w:r>
      <w:r>
        <w:rPr>
          <w:rFonts w:ascii="Calibri" w:hAnsi="Calibri"/>
          <w:b w:val="0"/>
          <w:color w:val="3A4A28"/>
          <w:sz w:val="20"/>
        </w:rPr>
        <w:t>Micro-cap life insurer ($176M market cap) with 5.0% ROE and 4.5% profit margin competing against vastly larger, better-capitalized peers — no technological moat, AI strategy, or product differentiation to sustain competitive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Life insurance is a heavily regulated industry requiring state licenses, actuarial expertise, statutory reserve requirements, and long-term contractual obligations that AI cannot replace [4]. Citizens Inc's core business — underwriting and servicing whole-life and term-life policies in the U.S. and Latin America — involves regulated entity requirements, trust-based agent relationships, and multi-decade policy commitments that create structural barriers to AI disruption. However, AI-powered insurtech companies (Lemonade, Ladder, Haven Life) are demonstrating that AI can streamline underwriting, claims, and distribution in ways that could pressure small traditional insurers with legacy systems and manual processes. The international segment's reliance on in-person agent networks in Latin America provides additional protection from digital disruption. AI Opportunity (0/1): No AI-related revenue streams. No evidence of AI-enhanced underwriting, claims automation, or AI-powered customer engagement tools.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Citizens Inc Q1 FY2026 Earnings — Revenue $59.7M (+7% YoY), Net Income $2.3M, 15 Consecutive Quarters of First-Year Premium Growth — SEC 8-K Filing, May 2026</w:t>
      </w:r>
    </w:p>
    <w:p>
      <w:pPr>
        <w:spacing w:before="20" w:after="20"/>
        <w:ind w:left="170"/>
      </w:pPr>
      <w:r>
        <w:rPr>
          <w:rFonts w:ascii="Calibri" w:hAnsi="Calibri"/>
          <w:b/>
          <w:color w:val="4A6B25"/>
          <w:sz w:val="15"/>
        </w:rPr>
        <w:t xml:space="preserve">2. </w:t>
      </w:r>
      <w:r>
        <w:rPr>
          <w:rFonts w:ascii="Calibri" w:hAnsi="Calibri"/>
          <w:b w:val="0"/>
          <w:color w:val="3A4A28"/>
          <w:sz w:val="17"/>
        </w:rPr>
        <w:t>Citizens Inc Q2 FY2026 Earnings — Revenue $60.4M (vs $65.1M YoY), Net Loss $0.4M, Weaker Persistency and International Lapses — Webull, StockWatch, August 2026</w:t>
      </w:r>
    </w:p>
    <w:p>
      <w:pPr>
        <w:spacing w:before="20" w:after="20"/>
        <w:ind w:left="170"/>
      </w:pPr>
      <w:r>
        <w:rPr>
          <w:rFonts w:ascii="Calibri" w:hAnsi="Calibri"/>
          <w:b/>
          <w:color w:val="4A6B25"/>
          <w:sz w:val="15"/>
        </w:rPr>
        <w:t xml:space="preserve">3. </w:t>
      </w:r>
      <w:r>
        <w:rPr>
          <w:rFonts w:ascii="Calibri" w:hAnsi="Calibri"/>
          <w:b w:val="0"/>
          <w:color w:val="3A4A28"/>
          <w:sz w:val="17"/>
        </w:rPr>
        <w:t>Citizens Inc Q4 FY2025 Earnings — Revenue $72.07M (Beat Estimates), EPS $0.14 (Beat Estimates) — SEC 8-K Filing, February 2026</w:t>
      </w:r>
    </w:p>
    <w:p>
      <w:pPr>
        <w:spacing w:before="20" w:after="20"/>
        <w:ind w:left="170"/>
      </w:pPr>
      <w:r>
        <w:rPr>
          <w:rFonts w:ascii="Calibri" w:hAnsi="Calibri"/>
          <w:b/>
          <w:color w:val="4A6B25"/>
          <w:sz w:val="15"/>
        </w:rPr>
        <w:t xml:space="preserve">4. </w:t>
      </w:r>
      <w:r>
        <w:rPr>
          <w:rFonts w:ascii="Calibri" w:hAnsi="Calibri"/>
          <w:b w:val="0"/>
          <w:color w:val="3A4A28"/>
          <w:sz w:val="17"/>
        </w:rPr>
        <w:t>Citizens Inc ESG Disclosures — Board ESG Oversight, Responsible Investing, Wind/Solar Energy Fund Investment 2020 — SEC DEF 14A Proxy Statements, 2021-2024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