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CIFR</w:t>
      </w:r>
      <w:r>
        <w:rPr>
          <w:rFonts w:ascii="Calibri" w:hAnsi="Calibri"/>
          <w:b/>
          <w:color w:val="1A2010"/>
          <w:sz w:val="40"/>
        </w:rPr>
        <w:t xml:space="preserve">  Cipher Digital Inc.</w:t>
      </w:r>
    </w:p>
    <w:p>
      <w:pPr>
        <w:spacing w:after="120"/>
      </w:pPr>
      <w:r>
        <w:rPr>
          <w:rFonts w:ascii="Calibri" w:hAnsi="Calibri"/>
          <w:b/>
          <w:color w:val="6E8450"/>
          <w:sz w:val="18"/>
        </w:rPr>
        <w:t>GROWTH SLEEVE · 2026-10-05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NMS · United States</w:t>
      </w:r>
    </w:p>
    <w:p>
      <w:pPr>
        <w:spacing w:after="80"/>
      </w:pPr>
      <w:r>
        <w:rPr>
          <w:rFonts w:ascii="Calibri" w:hAnsi="Calibri"/>
          <w:b w:val="0"/>
          <w:color w:val="3A4A28"/>
          <w:sz w:val="20"/>
        </w:rPr>
        <w:t>Cipher Digital (formerly Cipher Mining) develops and operates industrial-scale data centers, pivoting from bitcoin mining to high-performance compute (HPC) hosting for hyperscale tenants. The company rebranded in February 2026 to reflect its transformation toward AI/HPC infrastructure. Q1 2026 revenue was $35M and Q2 2026 revenue was $24.8M (down 43% YoY), reflecting the transition away from mining operations. The company has secured $11.4B in total contracted revenue across 10-15 year base leases with AWS and Google, with expected annualized NOI of $787M from October 2026 through September 2036. Founded in 2021 and headquartered in New York.</w:t>
      </w:r>
    </w:p>
    <w:p>
      <w:r>
        <w:rPr>
          <w:rFonts w:ascii="Calibri" w:hAnsi="Calibri"/>
          <w:b/>
          <w:color w:val="6E8450"/>
          <w:sz w:val="18"/>
        </w:rPr>
        <w:t>66 Employees · https://www.cipherdigital.com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Cipher executed one of the most dramatic pivots in the bitcoin mining sector — completely transforming from a cryptocurrency miner to a hyperscale AI/HPC data center developer, securing $11.4B in contracted revenue from AWS and Google, and rebranding from Cipher Mining to Cipher Digital in February 2026 to reflect the new identity [1][5]. This is a significant business model transformation that opened an entirely new revenue stream, though execution remains in early stages with revenue currently declining. AI Deployment (1/2): Cipher's forward business is AI infrastructure — the company is building data centers specifically for hyperscale AI/HPC workloads, with the Black Pearl campus designed for AI compute tenants [5]. While Cipher doesn't deploy AI products itself, its entire contracted revenue base ($11.4B) is from tenants running AI workloads, representing measurable AI-related business activity [1][5]. Market Share (0/2): Cipher is an emerging player in the hyperscale data center space, competing against established operators (Equinix, Digital Realty, QTS) and other bitcoin-to-HPC converts (Core Scientific, Marathon Digital), with no demonstrated category leadership [5]. Product Pipeline (2/2): Black Pearl campus development has specific capacity targets and construction timeline, fully funded by $2B bond issuance (6.125% coupon) and $200M revolving credit facility, with $11.4B in total contracted revenue providing exceptional forward visibility across 10-15 year base leases with investment-grade counterparties AWS and Google [1][5]. R&amp;D Intensity (0/1): Data center development is capital-intensive, not R&amp;D-intensive; no traditional research and development programs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Cipher Digital describes itself as developing data center infrastructure for bitcoin mining and HPC hosting — a functional business description rather than an articulated purpose or vision of a better future [5]. The pivot to AI infrastructure is strategic positioning, not a cause that inspires. The company exists to generate returns from data center real estate, interchangeable with any infrastructure developer. Community Impact (0/2): No evidence of charitable programs or community investment; bitcoin mining companies face environmental scrutiny over energy consumption rather than being recognized for community benefit [4]. Employee Retention (0/2): With only 66 employees and no Glassdoor reviews or retention data available, no assessment of organizational trust or employee sentiment is possible [5]. Insider Buying (0/2): No evidence of meaningful insider buying identified during the company's strategic transformation period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Growth stock with all available metrics at or below floor values, reflecting the capital-intensive transition period. Debt-to-equity of 950.6% scores 0.0, driven by the $2B bond issuance and $200M revolving credit facility ($5.59B total debt) used to fund the Black Pearl data center buildout [1][5]. ROE of -167.5% scores 0.0 (2x weight), reflecting massive capital deployment against limited current revenue [1]. Revenue growth of -43.0% YoY scores 0.0, as Q2 2026 revenue of $24.8M trailed expectations while bitcoin mining operations wind down faster than HPC revenue ramps [1]. Forward P/E of 119.2 scores 0.0, well above the 60 floor — analysts expect minimal near-term profitability despite the massive forward contract value [1]. Profit margin of 0.0% scores 0.0 at the floor. Daily dollar volume of $514M provides exceptional institutional liquidity. The $11.4B in contracted revenue and $787M expected annualized NOI represent substantial future value not captured in current-period metrics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Cipher Digital's dramatic pivot from bitcoin mining to AI data center hosting demonstrates remarkable strategic boldness, but the transformation was driven by economic pragmatism rather than an enduring purpose. The company has no articulated Just Cause, no organizational depth (66 employees), and was founded only in 2021. The pivot itself — winding down bitcoin mining to build hyperscale data centers for AWS and Google — shows courage and flexibility, but Sinek would note that flexibility without a cause is opportunism, and the company's competitive framing centers on contract values and capacity metrics rather than self-improvement.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Cipher Digital has no articulated vision of a better future beyond its business model. The company pivoted from bitcoin mining to AI data centers based on economic opportunity — higher margins, more stable revenue, better multiple — not because of a transformative cause [5]. The company exists to generate returns from data center real estate for shareholders, and its messaging centers on contracted revenue, NOI, and capacity rather than a purpose that transcends any single business model.</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66 employees and a founding date of 2021, Cipher Digital is too small and too young to have developed meaningful organizational trust infrastructure [5]. No Glassdoor reviews, employee sentiment data, or retention metrics are available. The company has undergone a CFO transition (Ed Farrell retiring, Greg Mumford succeeding) during the strategic pivot, but no evidence of broader organizational health exists.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Cipher Digital's competitive positioning centers on contracted revenue ($11.4B), capacity (megawatts), and lease terms — finite game metrics focused on winning data center market share [5]. No evidence of management acknowledging established competitors' strengths (Equinix, Digital Realty, QTS) or framing competitive dynamics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Cipher fundamentally reinvented itself from a bitcoin mining company to a hyperscale AI data center developer — rebranding, raising $2B in debt, winding down mining operations, and pivoting to 10-15 year HPC leases with AWS and Google [1][5]. This is a dramatic strategic transformation, but it was driven by economic pragmatism (declining bitcoin mining margins post-halving, surging AI infrastructure demand) rather than by an enduring Just Cause. Sinek would credit the flexibility but note the absence of purpose — flexibility without a cause is reactive adaptation, not existential flexibility in service of something greater.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pivot from bitcoin mining to hyperscale HPC hosting required genuine strategic courage — issuing $2B in bonds (6.125% coupon), winding down the existing bitcoin mining business that was generating revenue, and betting the company's future on long-term data center leases with AWS and Google [1][5]. CEO Tyler Page chose long-term infrastructure value over short-term mining revenue, accepting near-term revenue decline (-43% YoY in Q2) for the promise of $787M annualized NOI starting late 2026. This is one major courageous decision, not a pattern of multiple such decisions.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Cipher Digital at $15.71 per share ($6.5B market cap) represents a transformative bet on AI infrastructure demand. The company has secured $11.4B in total contracted revenue across 10-15 year base leases with investment-grade hyperscale tenants (AWS, Google), with expected annualized net operating income of $787M from October 2026 through September 2036 [1][5]. The Black Pearl campus development is fully funded through a $2B bond issuance (6.125% coupon) and $200M revolving credit facility, eliminating construction financing risk. At current valuation, the market is pricing approximately 8x expected annualized NOI — a reasonable multiple for contracted, long-duration data center cash flows with credit-worthy counterparties. CEO Tyler Page's background in institutional finance (Goldman Sachs, Guggenheim, NYDIG) lends credibility to capital markets execution [5].</w:t>
      </w:r>
    </w:p>
    <w:p>
      <w:pPr>
        <w:spacing w:after="120"/>
      </w:pPr>
      <w:r>
        <w:rPr>
          <w:rFonts w:ascii="Calibri" w:hAnsi="Calibri"/>
          <w:b w:val="0"/>
          <w:color w:val="3A4A28"/>
          <w:sz w:val="20"/>
        </w:rPr>
        <w:t>The bear case centers on execution risk, leverage, and the chasm between contracted future value and present-day financials. Current financial metrics are uniformly distressed: 950.6% D/E, -167.5% ROE, -43% revenue growth, and 0% profit margin, reflecting the massive capital deployment required for the bitcoin-to-HPC transformation [1]. Q2 2026 revenue of $24.8M represents an annualized run rate of ~$100M against $5.59B in total debt — a revenue-to-debt ratio that depends entirely on successful data center construction and tenant occupancy. If Black Pearl construction encounters delays, cost overruns, or permitting issues, the company's ability to service $2B in bond debt (6.125% coupon = ~$122M annual interest) could be jeopardized. The 119.2x forward P/E reflects analyst expectations of minimal near-term profitability despite the contracted revenue. Additionally, the hyperscale data center market is increasingly competitive, with well-capitalized incumbents (Equinix, Digital Realty) and multiple bitcoin-miner-to-HPC converts (Core Scientific, Marathon Digital) pursuing the same AI infrastructure opportunity, potentially compressing lease terms and returns over time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HPC revenue ramp starting late 2026 as Black Pearl campus construction progresses and contracted leases with AWS and Google begin generating the expected $787M annualized NOI, potentially closing the gap between forward contract value and current financials [1][5]</w:t>
      </w:r>
    </w:p>
    <w:p>
      <w:pPr>
        <w:spacing w:before="40" w:after="40"/>
        <w:ind w:left="283"/>
      </w:pPr>
      <w:r>
        <w:rPr>
          <w:rFonts w:ascii="Calibri" w:hAnsi="Calibri"/>
          <w:b/>
          <w:color w:val="4A6B25"/>
          <w:sz w:val="20"/>
        </w:rPr>
        <w:t xml:space="preserve">2. </w:t>
      </w:r>
      <w:r>
        <w:rPr>
          <w:rFonts w:ascii="Calibri" w:hAnsi="Calibri"/>
          <w:b w:val="0"/>
          <w:color w:val="3A4A28"/>
          <w:sz w:val="20"/>
        </w:rPr>
        <w:t>The $11.4B in total contracted revenue across 10-15 year base leases with investment-grade counterparties provides exceptional forward visibility and could drive a rerating as revenue begins flowing and the market gains confidence in execution [1][5]</w:t>
      </w:r>
    </w:p>
    <w:p>
      <w:pPr>
        <w:spacing w:before="40" w:after="40"/>
        <w:ind w:left="283"/>
      </w:pPr>
      <w:r>
        <w:rPr>
          <w:rFonts w:ascii="Calibri" w:hAnsi="Calibri"/>
          <w:b/>
          <w:color w:val="4A6B25"/>
          <w:sz w:val="20"/>
        </w:rPr>
        <w:t xml:space="preserve">3. </w:t>
      </w:r>
      <w:r>
        <w:rPr>
          <w:rFonts w:ascii="Calibri" w:hAnsi="Calibri"/>
          <w:b w:val="0"/>
          <w:color w:val="3A4A28"/>
          <w:sz w:val="20"/>
        </w:rPr>
        <w:t>Full construction financing secured through $2B bond and $200M revolving credit facility eliminates near-term dilution risk and allows management to focus on operational execution rather than capital raising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risk on Black Pearl campus construction — any delays, cost overruns, or permitting issues would jeopardize the company's ability to service $5.59B in total debt ($2B bonds at 6.125% = ~$122M annual interest) while Q2 revenue runs at only ~$100M annualized [1]</w:t>
      </w:r>
    </w:p>
    <w:p>
      <w:pPr>
        <w:spacing w:before="40" w:after="40"/>
        <w:ind w:left="283"/>
      </w:pPr>
      <w:r>
        <w:rPr>
          <w:rFonts w:ascii="Calibri" w:hAnsi="Calibri"/>
          <w:b/>
          <w:color w:val="4A6B25"/>
          <w:sz w:val="20"/>
        </w:rPr>
        <w:t xml:space="preserve">2. </w:t>
      </w:r>
      <w:r>
        <w:rPr>
          <w:rFonts w:ascii="Calibri" w:hAnsi="Calibri"/>
          <w:b w:val="0"/>
          <w:color w:val="3A4A28"/>
          <w:sz w:val="20"/>
        </w:rPr>
        <w:t>Extreme financial leverage at 950.6% D/E with -167.5% ROE and -43% revenue decline creates a binary outcome profile — the company either successfully executes the HPC transition and generates $787M annualized NOI, or faces potential debt restructuring [1][5]</w:t>
      </w:r>
    </w:p>
    <w:p>
      <w:pPr>
        <w:spacing w:before="40" w:after="40"/>
        <w:ind w:left="283"/>
      </w:pPr>
      <w:r>
        <w:rPr>
          <w:rFonts w:ascii="Calibri" w:hAnsi="Calibri"/>
          <w:b/>
          <w:color w:val="4A6B25"/>
          <w:sz w:val="20"/>
        </w:rPr>
        <w:t xml:space="preserve">3. </w:t>
      </w:r>
      <w:r>
        <w:rPr>
          <w:rFonts w:ascii="Calibri" w:hAnsi="Calibri"/>
          <w:b w:val="0"/>
          <w:color w:val="3A4A28"/>
          <w:sz w:val="20"/>
        </w:rPr>
        <w:t>Hyperscale data center market saturation risk as multiple bitcoin-miner-to-HPC converts (Core Scientific, Marathon Digital) and established operators (Equinix, Digital Realty) compete for the same AI infrastructure demand, potentially compressing lease economics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Cipher Digital is BUILDING AI infrastructure — the company's entire forward business is providing physical data center capacity for hyperscale AI/HPC workloads run by AWS and Google [1][5]. AI growth directly and structurally increases demand for Cipher's data centers; the company cannot be disrupted by AI because AI is the fundamental demand driver for its core product. The $11.4B in contracted revenue across 10-15 year leases represents the market's validation of this structural immunity. Physical data center infrastructure (land, power, cooling, network) cannot be replaced by software, and the current shortage of data center capacity relative to AI compute demand provides additional protection. Scores 8 rather than 9 because execution risk on the Black Pearl buildout could prevent Cipher from capturing the AI infrastructure opportunity. AI Opportunity (1/1): Cipher's entire contracted revenue base of $11.4B is from AI/HPC hosting — the company generates quantifiable revenue from AI-related infrastructure services, with AWS and Google as anchor tenants and expected annualized NOI of $787M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Cipher Digital Q1 and Q2 2026 Earnings — Q1 Revenue $35M, Q2 Revenue $24.8M (-43% YoY), -$0.65 EPS, Earnings Transcripts and Press Releases, May and August 2026</w:t>
      </w:r>
    </w:p>
    <w:p>
      <w:pPr>
        <w:spacing w:before="20" w:after="20"/>
        <w:ind w:left="170"/>
      </w:pPr>
      <w:r>
        <w:rPr>
          <w:rFonts w:ascii="Calibri" w:hAnsi="Calibri"/>
          <w:b/>
          <w:color w:val="4A6B25"/>
          <w:sz w:val="15"/>
        </w:rPr>
        <w:t xml:space="preserve">2. </w:t>
      </w:r>
      <w:r>
        <w:rPr>
          <w:rFonts w:ascii="Calibri" w:hAnsi="Calibri"/>
          <w:b w:val="0"/>
          <w:color w:val="3A4A28"/>
          <w:sz w:val="17"/>
        </w:rPr>
        <w:t>Cipher Digital Business Update — $11.4B Total Contracted Revenue, $787M Expected Annualized NOI, SEC Form 8-K, 2026</w:t>
      </w:r>
    </w:p>
    <w:p>
      <w:pPr>
        <w:spacing w:before="20" w:after="20"/>
        <w:ind w:left="170"/>
      </w:pPr>
      <w:r>
        <w:rPr>
          <w:rFonts w:ascii="Calibri" w:hAnsi="Calibri"/>
          <w:b/>
          <w:color w:val="4A6B25"/>
          <w:sz w:val="15"/>
        </w:rPr>
        <w:t xml:space="preserve">3. </w:t>
      </w:r>
      <w:r>
        <w:rPr>
          <w:rFonts w:ascii="Calibri" w:hAnsi="Calibri"/>
          <w:b w:val="0"/>
          <w:color w:val="3A4A28"/>
          <w:sz w:val="17"/>
        </w:rPr>
        <w:t>Cipher Digital Capital Structure — $2B Bond (6.125% Coupon), $200M Revolving Credit Facility, Black Pearl Construction, CoinDesk and Press Releases, 2026</w:t>
      </w:r>
    </w:p>
    <w:p>
      <w:pPr>
        <w:spacing w:before="20" w:after="20"/>
        <w:ind w:left="170"/>
      </w:pPr>
      <w:r>
        <w:rPr>
          <w:rFonts w:ascii="Calibri" w:hAnsi="Calibri"/>
          <w:b/>
          <w:color w:val="4A6B25"/>
          <w:sz w:val="15"/>
        </w:rPr>
        <w:t xml:space="preserve">4. </w:t>
      </w:r>
      <w:r>
        <w:rPr>
          <w:rFonts w:ascii="Calibri" w:hAnsi="Calibri"/>
          <w:b w:val="0"/>
          <w:color w:val="3A4A28"/>
          <w:sz w:val="17"/>
        </w:rPr>
        <w:t>Cipher Mining Environmental and Bitcoin ESG — Energy Consumption Concerns, Texas Renewable Energy, MIT CEEPR Study, US News, 2022-2026</w:t>
      </w:r>
    </w:p>
    <w:p>
      <w:pPr>
        <w:spacing w:before="20" w:after="20"/>
        <w:ind w:left="170"/>
      </w:pPr>
      <w:r>
        <w:rPr>
          <w:rFonts w:ascii="Calibri" w:hAnsi="Calibri"/>
          <w:b/>
          <w:color w:val="4A6B25"/>
          <w:sz w:val="15"/>
        </w:rPr>
        <w:t xml:space="preserve">5. </w:t>
      </w:r>
      <w:r>
        <w:rPr>
          <w:rFonts w:ascii="Calibri" w:hAnsi="Calibri"/>
          <w:b w:val="0"/>
          <w:color w:val="3A4A28"/>
          <w:sz w:val="17"/>
        </w:rPr>
        <w:t>Cipher Digital Leadership and Strategy — CEO Tyler Page, Rebrand from Cipher Mining, HPC/AI Pivot, Seeking Alpha, StockAnalysis, LinkedIn,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