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CIG</w:t>
      </w:r>
      <w:r>
        <w:rPr>
          <w:rFonts w:ascii="Calibri" w:hAnsi="Calibri"/>
          <w:b/>
          <w:color w:val="1A2010"/>
          <w:sz w:val="40"/>
        </w:rPr>
        <w:t xml:space="preserve">  Companhia Energetica de Minas Gerais - CEMIG</w:t>
      </w:r>
    </w:p>
    <w:p>
      <w:pPr>
        <w:spacing w:after="120"/>
      </w:pPr>
      <w:r>
        <w:rPr>
          <w:rFonts w:ascii="Calibri" w:hAnsi="Calibri"/>
          <w:b/>
          <w:color w:val="6E8450"/>
          <w:sz w:val="18"/>
        </w:rPr>
        <w:t>DIVIDEND SLEEVE · 2026-10-19 · Inspire: 0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45</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Utilities · Utilities - Regulated Electric · NYSE · Brazil</w:t>
      </w:r>
    </w:p>
    <w:p>
      <w:pPr>
        <w:spacing w:after="80"/>
      </w:pPr>
      <w:r>
        <w:rPr>
          <w:rFonts w:ascii="Calibri" w:hAnsi="Calibri"/>
          <w:b w:val="0"/>
          <w:color w:val="3A4A28"/>
          <w:sz w:val="20"/>
        </w:rPr>
        <w:t>CEMIG is a Brazilian state-controlled electric utility operating in generation, transmission, distribution, and sale of energy in the state of Minas Gerais and beyond. The company operates 32 hydro plants (4,434 MW), 2 wind farms (71 MW), and 12 photovoltaic stations (169 MW), along with 365,577 miles of distribution lines [1]. Q2 2026 net operating revenue rose 3.4% YoY to R$11.16B with recurring EBITDA up 9.3% to R$2.47B, though recurring net income fell 15.6% to R$1.12B due to higher financial expenses [1]. Founded in 1952, headquartered in Belo Horizonte.</w:t>
      </w:r>
    </w:p>
    <w:p>
      <w:r>
        <w:rPr>
          <w:rFonts w:ascii="Calibri" w:hAnsi="Calibri"/>
          <w:b/>
          <w:color w:val="6E8450"/>
          <w:sz w:val="18"/>
        </w:rPr>
        <w:t>5,320 Employees · https://www.cemig.com.br</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CEMIG has diversified incrementally from a hydro-dominated portfolio into wind (71 MW) and solar (169 MW) generation, and expanded into gas distribution and energy trading, though these remain small relative to the core regulated distribution business [1][2]. AI Deployment (0/2): No evidence of AI-powered products shipping to customers or specific AI-driven cost savings reported in earnings materials or investor presentations. Market Share (1/2): CEMIG is the dominant utility in Minas Gerais with a regulated monopoly over its service territory, controlling one of Brazil's largest distribution networks by customer count. Product Pipeline (0/2): The R$70B strategic investment plan through 2030 focuses on infrastructure modernization and capacity expansion, not next-generation products or technology launches [3]. R&amp;D Intensity (0/1): No data on R&amp;D spending; Brazilian regulated utilities typically invest minimally in R&amp;D relative to revenue, relying on regulated tariff adjustments for returns.</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(1/4): As a state-controlled utility, CEMIG's purpose is to provide reliable energy to Minas Gerais — a functional obligation rather than a distinctive or inspiring vision. The company's raison d'etre is tied to public service delivery mandated by its concession, not a self-chosen transformative purpose. Community Impact (1/2): CEMIG has maintained 19 consecutive years in the ISE B3 Corporate Sustainability Index and 25 years in the Dow Jones Sustainability Index, with FTSE4Good recognition at a score of 3.8 vs. the sector average of 2.8 [4]. These represent sustained commitment to sustainability reporting. Employee Retention (0/2): Frequent CEO turnover driven by political interference — Alexandre Ramos Peixoto was replaced approximately three months after his May 2026 appointment due to political realignment by the Minas Gerais governor, signaling institutional instability at the top [3]. Insider Buying (0/2): State-controlled company where insider buying dynamics are not applicable; the controlling shareholder is the Minas Gerais state government.</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as a Dividend stock (Forward P/E excluded — unavailable). D/E of 77.9% is slightly above the 70% target (score 0.97), reflecting typical utility leverage [5]. ROE of 15.9% exceeds the 15% target (score 1.0), while revenue growth of 3.4% YoY in BRL terms scores moderately (score 0.78). The 3-year revenue CAGR of approximately 10.3% in BRL terms (R$31.8B to R$42.8B from 2022-2025) scores at the 10% target (score 1.0), driven by tariff adjustments and distribution volume growth [1][2]. Profit margin of 10.5% is below the 20% target (score 0.53), typical for regulated utilities with pass-through energy costs. The payout ratio of 79.0% is elevated versus the 40% target (score 0.35), and the dividend history spans 24+ consecutive years of payments (score 1.0, 2x weight). However, the 2024-to-2025 dividend declined from $0.27 to $0.19 per ADR share, yielding 0 consecutive years of growth (score 0.0). The 5-year dividend CAGR of approximately 13.9% (score 1.0, 2x weight) reflects recovery from a low 2020 base rather than consistent growth. Daily dollar volume of $11.6M provides adequate liquidity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2</w:t>
      </w:r>
      <w:r>
        <w:rPr>
          <w:rFonts w:ascii="Calibri" w:hAnsi="Calibri"/>
          <w:b w:val="0"/>
          <w:color w:val="9DAF88"/>
          <w:sz w:val="18"/>
        </w:rPr>
        <w:t xml:space="preserve"> /10</w:t>
      </w:r>
    </w:p>
    <w:p>
      <w:pPr>
        <w:spacing w:after="120"/>
      </w:pPr>
      <w:r>
        <w:rPr>
          <w:rFonts w:ascii="Calibri" w:hAnsi="Calibri"/>
          <w:b w:val="0"/>
          <w:color w:val="3A4A28"/>
          <w:sz w:val="18"/>
        </w:rPr>
        <w:t>CEMIG operates as a state-controlled utility where leadership is appointed by the Minas Gerais governor and replaced based on political calculations rather than strategic vision. The frequent CEO turnover — most recently replacing a CEO after just three months — reflects a fundamentally finite game driven by political cycles rather than enduring purpose. While the company has diversified into renewables, this is driven by regulatory mandates and economics rather than a chosen Just Cause.</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CEMIG's purpose is delivering electricity to Minas Gerais — a functional obligation of its concession, not a self-chosen cause that inspires sacrifice or transcends the business. The R$70B investment plan through 2030 is a capital expenditure program, not an expression of purpose [3]. State-controlled utilities exist to fulfill concession obligations; their cause is defined externally by regulators and political stakeholders, not internally by visionary leadership.</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Political CEO appointments and rapid turnover create institutional instability that erodes psychological safety. Employees at a state-controlled entity where leadership changes every few years based on electoral politics cannot build the deep trust Sinek describes [3]. Multiple leadership changes signal that organizational direction is subordinate to political calculations, making long-term team commitments risky.</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As a regulated monopoly in its service territory, CEMIG has no direct competitive pressure that would drive self-improvement in Sinek's framework. Competition exists in unregulated generation, but the company's competitive language is not available in public materials to assess whether it reflects an infinite or finite mindset.</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CEMIG has diversified from a purely hydroelectric utility into wind (71 MW) and solar (169 MW) generation, gas distribution, and energy trading, showing incremental adaptation to Brazil's evolving energy mix [1]. The transition toward renewables is meaningful but driven by economics and regulatory requirements rather than a transformative strategic pivot. The core business model remains regulated electricity distribution.</w:t>
      </w:r>
    </w:p>
    <w:p>
      <w:pPr>
        <w:spacing w:before="200" w:after="40"/>
      </w:pPr>
      <w:r>
        <w:rPr>
          <w:rFonts w:ascii="Calibri" w:hAnsi="Calibri"/>
          <w:b/>
          <w:color w:val="1A2010"/>
          <w:sz w:val="22"/>
        </w:rPr>
        <w:t>Courage To Lead</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(0/2): CEO turnover driven by political interference demonstrates the opposite of courageous leadership. Alexandre Ramos Peixoto was replaced approximately three months after appointment because the governor sought 'political realignment,' not because of strategic failure [3]. When leadership changes are driven by party politics rather than long-term capability building, courageous long-term investment becomes impossible. The prior CEO Reynaldo Passanezi led a financial recovery, but this was reactive stabilization rather than proactive courage.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CEMIG at $2.32 per ADR offers a high-yield value proposition in Brazilian regulated utilities, trading at 7.5x trailing earnings with a 6.3% dividend yield — attractive for income-focused investors willing to accept emerging market and currency risk [5]. The Q2 2026 EBITDA margin improved 1.0pp YoY to 20.1% with recurring EBITDA up 9.3% to R$2.47B, and a 6.5% tariff adjustment effective May 2026 supports near-term revenue growth [1]. The R$70B strategic investment plan through 2030 targets infrastructure modernization, and 25 consecutive years in the Dow Jones Sustainability Index reflect institutional commitment to ESG standards unusual for a state-controlled Brazilian utility [4]. The distribution segment is the primary growth driver, with Q1 2026 EBITDA up 26.6% in that business [1].</w:t>
      </w:r>
    </w:p>
    <w:p>
      <w:pPr>
        <w:spacing w:after="120"/>
      </w:pPr>
      <w:r>
        <w:rPr>
          <w:rFonts w:ascii="Calibri" w:hAnsi="Calibri"/>
          <w:b w:val="0"/>
          <w:color w:val="3A4A28"/>
          <w:sz w:val="20"/>
        </w:rPr>
        <w:t>The bear case is centered on governance risk and earnings volatility. Recurring net income fell 15.6% YoY in Q2 2026 due to weaker trading results, higher financial expenses, and non-recurring items, demonstrating earnings sensitivity to Brazil's volatile interest rate environment [1]. The 79% payout ratio is elevated and leaves little buffer for reinvestment or dividend safety if earnings deteriorate further. CEO turnover driven by political interference — the governor replaced the CEO three months after appointment for political realignment reasons — creates institutional instability that undermines strategic continuity and long-term capital allocation discipline [3]. Currency risk is significant: the ADR dividend declined from $0.27 in 2024 to $0.19 in 2025 despite stable BRL dividends, reflecting BRL depreciation against USD. The stock's extremely low beta (0.055) and modest $6.6B market cap limit institutional investor interest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6.5% tariff adjustment effective May 2026 and upcoming tariff review in 2028 expected to support revenue growth and improve distribution returns on the regulated asset base [1]</w:t>
      </w:r>
    </w:p>
    <w:p>
      <w:pPr>
        <w:spacing w:before="40" w:after="40"/>
        <w:ind w:left="283"/>
      </w:pPr>
      <w:r>
        <w:rPr>
          <w:rFonts w:ascii="Calibri" w:hAnsi="Calibri"/>
          <w:b/>
          <w:color w:val="4A6B25"/>
          <w:sz w:val="20"/>
        </w:rPr>
        <w:t xml:space="preserve">2. </w:t>
      </w:r>
      <w:r>
        <w:rPr>
          <w:rFonts w:ascii="Calibri" w:hAnsi="Calibri"/>
          <w:b w:val="0"/>
          <w:color w:val="3A4A28"/>
          <w:sz w:val="20"/>
        </w:rPr>
        <w:t>Distribution segment EBITDA up 26.6% in Q1 2026, demonstrating improving profitability in the core regulated business as tariff adjustments flow through to earnings [1]</w:t>
      </w:r>
    </w:p>
    <w:p>
      <w:pPr>
        <w:spacing w:before="40" w:after="40"/>
        <w:ind w:left="283"/>
      </w:pPr>
      <w:r>
        <w:rPr>
          <w:rFonts w:ascii="Calibri" w:hAnsi="Calibri"/>
          <w:b/>
          <w:color w:val="4A6B25"/>
          <w:sz w:val="20"/>
        </w:rPr>
        <w:t xml:space="preserve">3. </w:t>
      </w:r>
      <w:r>
        <w:rPr>
          <w:rFonts w:ascii="Calibri" w:hAnsi="Calibri"/>
          <w:b w:val="0"/>
          <w:color w:val="3A4A28"/>
          <w:sz w:val="20"/>
        </w:rPr>
        <w:t>R$70B strategic investment plan through 2030 focused on grid modernization and renewable energy expansion, potentially expanding the regulated asset base and future tariff recovery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Political governance risk — CEO replaced after three months in office due to gubernatorial political realignment, demonstrating that management continuity is subordinate to state political cycles and undermining strategic consistency [3]</w:t>
      </w:r>
    </w:p>
    <w:p>
      <w:pPr>
        <w:spacing w:before="40" w:after="40"/>
        <w:ind w:left="283"/>
      </w:pPr>
      <w:r>
        <w:rPr>
          <w:rFonts w:ascii="Calibri" w:hAnsi="Calibri"/>
          <w:b/>
          <w:color w:val="4A6B25"/>
          <w:sz w:val="20"/>
        </w:rPr>
        <w:t xml:space="preserve">2. </w:t>
      </w:r>
      <w:r>
        <w:rPr>
          <w:rFonts w:ascii="Calibri" w:hAnsi="Calibri"/>
          <w:b w:val="0"/>
          <w:color w:val="3A4A28"/>
          <w:sz w:val="20"/>
        </w:rPr>
        <w:t>Earnings vulnerability to Brazil's high interest rate environment — recurring net income fell 15.6% YoY in Q2 2026 primarily from higher financial expenses on R$22.7B of total debt [1][5]</w:t>
      </w:r>
    </w:p>
    <w:p>
      <w:pPr>
        <w:spacing w:before="40" w:after="40"/>
        <w:ind w:left="283"/>
      </w:pPr>
      <w:r>
        <w:rPr>
          <w:rFonts w:ascii="Calibri" w:hAnsi="Calibri"/>
          <w:b/>
          <w:color w:val="4A6B25"/>
          <w:sz w:val="20"/>
        </w:rPr>
        <w:t xml:space="preserve">3. </w:t>
      </w:r>
      <w:r>
        <w:rPr>
          <w:rFonts w:ascii="Calibri" w:hAnsi="Calibri"/>
          <w:b w:val="0"/>
          <w:color w:val="3A4A28"/>
          <w:sz w:val="20"/>
        </w:rPr>
        <w:t>Currency risk for USD-denominated ADR investors — BRL/USD fluctuations caused the ADR dividend to decline from $0.27 to $0.19 despite underlying BRL dividend stability, and the 79% payout ratio limits dividend growth potential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CEMIG operates physical electricity generation, transmission, and distribution infrastructure under regulated concessions — a business model structurally immune to AI disruption. Electric utilities require physical assets (power plants, transmission lines, substations), regulatory concessions, and local infrastructure that AI cannot replicate or substitute. AI data center proliferation is a net demand driver for electricity globally, and Brazil's growing digital economy increases power consumption [1]. CEMIG's regulated monopoly over distribution in Minas Gerais ensures captured demand regardless of technology shifts. AI Opportunity (0/1): CEMIG generates no revenue from AI products or services. The company is a consumer of technology for grid management and billing, not a provider of AI-enabled solutions.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0</w:t>
      </w:r>
      <w:r>
        <w:rPr>
          <w:rFonts w:ascii="Calibri" w:hAnsi="Calibri"/>
          <w:b/>
          <w:color w:val="B8860B"/>
          <w:sz w:val="20"/>
        </w:rPr>
        <w:t xml:space="preserve">    MIXED</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CEMIG Q2 2026 Earnings Summary — Net Revenue R$11.16B (+3.4% YoY), Recurring EBITDA R$2.47B (+9.3%), Net Income R$1.12B (-15.6%), Quartr August 2026</w:t>
      </w:r>
    </w:p>
    <w:p>
      <w:pPr>
        <w:spacing w:before="20" w:after="20"/>
        <w:ind w:left="170"/>
      </w:pPr>
      <w:r>
        <w:rPr>
          <w:rFonts w:ascii="Calibri" w:hAnsi="Calibri"/>
          <w:b/>
          <w:color w:val="4A6B25"/>
          <w:sz w:val="15"/>
        </w:rPr>
        <w:t xml:space="preserve">2. </w:t>
      </w:r>
      <w:r>
        <w:rPr>
          <w:rFonts w:ascii="Calibri" w:hAnsi="Calibri"/>
          <w:b w:val="0"/>
          <w:color w:val="3A4A28"/>
          <w:sz w:val="17"/>
        </w:rPr>
        <w:t>CEMIG FY2025 Annual Results — Revenue R$42.75B (+7.4% YoY), StockAnalysis/SEC Filing 2026</w:t>
      </w:r>
    </w:p>
    <w:p>
      <w:pPr>
        <w:spacing w:before="20" w:after="20"/>
        <w:ind w:left="170"/>
      </w:pPr>
      <w:r>
        <w:rPr>
          <w:rFonts w:ascii="Calibri" w:hAnsi="Calibri"/>
          <w:b/>
          <w:color w:val="4A6B25"/>
          <w:sz w:val="15"/>
        </w:rPr>
        <w:t xml:space="preserve">3. </w:t>
      </w:r>
      <w:r>
        <w:rPr>
          <w:rFonts w:ascii="Calibri" w:hAnsi="Calibri"/>
          <w:b w:val="0"/>
          <w:color w:val="3A4A28"/>
          <w:sz w:val="17"/>
        </w:rPr>
        <w:t>Cenario Energia — CEMIG CEO Alexandre Ramos Peixoto Elected May 2026, Replaced August 2026 by Governor's Political Realignment Decision</w:t>
      </w:r>
    </w:p>
    <w:p>
      <w:pPr>
        <w:spacing w:before="20" w:after="20"/>
        <w:ind w:left="170"/>
      </w:pPr>
      <w:r>
        <w:rPr>
          <w:rFonts w:ascii="Calibri" w:hAnsi="Calibri"/>
          <w:b/>
          <w:color w:val="4A6B25"/>
          <w:sz w:val="15"/>
        </w:rPr>
        <w:t xml:space="preserve">4. </w:t>
      </w:r>
      <w:r>
        <w:rPr>
          <w:rFonts w:ascii="Calibri" w:hAnsi="Calibri"/>
          <w:b w:val="0"/>
          <w:color w:val="3A4A28"/>
          <w:sz w:val="17"/>
        </w:rPr>
        <w:t>CEMIG 25 Years in Dow Jones Sustainability Index, ISE B3 Recognition, FTSE4Good Score 3.8, December 2024</w:t>
      </w:r>
    </w:p>
    <w:p>
      <w:pPr>
        <w:spacing w:before="20" w:after="20"/>
        <w:ind w:left="170"/>
      </w:pPr>
      <w:r>
        <w:rPr>
          <w:rFonts w:ascii="Calibri" w:hAnsi="Calibri"/>
          <w:b/>
          <w:color w:val="4A6B25"/>
          <w:sz w:val="15"/>
        </w:rPr>
        <w:t xml:space="preserve">5. </w:t>
      </w:r>
      <w:r>
        <w:rPr>
          <w:rFonts w:ascii="Calibri" w:hAnsi="Calibri"/>
          <w:b w:val="0"/>
          <w:color w:val="3A4A28"/>
          <w:sz w:val="17"/>
        </w:rPr>
        <w:t>Yahoo Finance — CIG Key Statistics, ADR Market Data, accessed October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