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CLBK</w:t>
      </w:r>
      <w:r>
        <w:rPr>
          <w:rFonts w:ascii="Calibri" w:hAnsi="Calibri"/>
          <w:b/>
          <w:color w:val="1A2010"/>
          <w:sz w:val="40"/>
        </w:rPr>
        <w:t xml:space="preserve">  Columbia Financial, Inc.</w:t>
      </w:r>
    </w:p>
    <w:p>
      <w:pPr>
        <w:spacing w:after="120"/>
      </w:pPr>
      <w:r>
        <w:rPr>
          <w:rFonts w:ascii="Calibri" w:hAnsi="Calibri"/>
          <w:b/>
          <w:color w:val="6E8450"/>
          <w:sz w:val="18"/>
        </w:rPr>
        <w:t>GROWTH SLEEVE · 2026-09-17 · Inspire: 28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NASDAQ · United States</w:t>
      </w:r>
    </w:p>
    <w:p>
      <w:pPr>
        <w:spacing w:after="80"/>
      </w:pPr>
      <w:r>
        <w:rPr>
          <w:rFonts w:ascii="Calibri" w:hAnsi="Calibri"/>
          <w:b w:val="0"/>
          <w:color w:val="3A4A28"/>
          <w:sz w:val="20"/>
        </w:rPr>
        <w:t>Columbia Financial, Inc. is the Fair Lawn, New Jersey-based holding company for Columbia Bank, a community bank offering consumer and commercial banking, lending, and wealth management services [1]. President and CEO Thomas J. Kemly, who joined the bank in 1981 and has led it since 2011, has driven growth through both organic expansion and acquisitions (Atlantic Stewardship Bank in 2019, Roselle Bank in 2020) alongside a build-out of digital and mobile banking capabilities [2]. The bank's net interest margin expanded to 2.44% in Q2 2026 from 2.19% a year earlier as funding costs eased, and net income for the first half of 2026 rose to $27.6 million from $21.2 million in the prior-year period [3].</w:t>
      </w:r>
    </w:p>
    <w:p>
      <w:r>
        <w:rPr>
          <w:rFonts w:ascii="Calibri" w:hAnsi="Calibri"/>
          <w:b/>
          <w:color w:val="6E8450"/>
          <w:sz w:val="18"/>
        </w:rPr>
        <w:t>749 Employees · https://www.columbiabankonline.com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CEO Kemly, Columbia Bank has executed a steady growth strategy combining organic branch expansion with two completed acquisitions (Atlantic Stewardship Bank 2019, Roselle Bank 2020), and has recently navigated a difficult rate cycle back to expanding margins (NIM up to 2.44% in Q2 2026 from 2.19% a year prior) [2][3]. AI Deployment (0/2): No evidence of AI-driven underwriting, fraud detection, or customer-facing AI tools was identified for Columbia Bank specifically. Market Share (0/2): As a single-state community bank holding roughly $1.2 billion in market capitalization, Columbia holds a modest niche share in North/Central New Jersey banking without evidence of category leadership. Pipeline (1/2): The bank continues to invest in digital and mobile banking alongside physical branch expansion, a sensible if incremental modernization path [2]. R&amp;D Intensity (1/1): Investment in technology infrastructure to support digital banking growth is proportionate for a bank of this size, though not disclosed as a distinct R&amp;D line item.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Columbia's 'Creed of Shared Values' commits the organization to act in the best interests of customers, coworkers, communities, and shareholders -- a clear if fairly generic community-banking mission shared by most mutual-heritage thrifts [2]. Community Impact (2/2): Columbia's Community Benefits Agreement commits $8.1 billion over five years to expand mortgage and small-business lending access in historically underserved communities, a substantial and specific commitment for a bank of this size [1]. Employee Retention (0/2): No specific turnover or tenure data was identified, though CEO Kemly's 45-year tenure at the bank suggests some organizational stability at the top. Insider Buying (0/2): No evidence of meaningful net insider purchases was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(D/E and ROE not directly meaningful/available for a bank holding company in this framework, so ROE is scored at its low reported level and D/E is treated as not applicable). Columbia clears the liquidity floor comfortably with ~5.3 million average daily shares at $11.46 (~$60.8M daily turnover) [4]. Forward P/E of 18.09 and profit margin of 21.76% both already clear their respective targets, and Q1-Q2 2026 net interest income growth of 20% YoY drove revenue growth of 13.1% YoY, also above target [3][4]. The primary drags are ROE of only 5.02% (2x weight), well below the 15% target expected of a well-run bank, and a multi-year revenue CAGR that remains negative (~-4.5% over the last three fiscal years) as the bank worked through a difficult 2023-2024 rate cycle before the recent NIM recovery [3][4]. PEG ratio is not meaningfully available given inconsistent forward estimates for the name.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Columbia Financial exhibits the steady, community-anchored posture typical of a converted mutual thrift: a long-tenured CEO, a genuine (if not fully distinctive) community reinvestment commitment, and measured M&amp;A-driven growth rather than aggressive expansion. It has not made a transformative strategic pivot, and its return on equity remains well below well-run bank peers, but there is no evidence of predatory competitive behavior or governance red flags.</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Columbia's community-banking mission is reinforced by a concrete $8.1 billion, five-year Community Benefits Agreement targeting underserved borrowers, giving the mission more substance than typical thrift boilerplate, though it remains focused on a single state and has not been tested through major crisis under current leadership [1][2].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Kemly's 45-year tenure at the bank (including roles as CFO and COO before becoming President/CEO) and the presence of a dedicated Corporate Governance and Culture executive suggest organizational stability and continuity, though no specific turnover or engagement metrics were identified [2].</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partial): Columbia competes with larger regional and national banks primarily on local relationships and community reinvestment rather than price wars or predatory tactics, consistent with a cooperative rather than zero-sum competitive posture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bank has evolved from a mutual thrift to a fully public stock holding company via its 2018 conversion, and has grown through acquisition (Atlantic Stewardship Bank, Roselle Bank) and digital banking investment, but has made no dramatic recent business-model pivot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navigated a difficult 2023-2024 rate cycle (NIM compressed to 2.19% before recovering) without major strategic missteps, and continued to invest in digital capabilities and acquisitions through the cycle, but there is no evidence of a costly, high-conviction bet that would demonstrate distinctive courage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Columbia Financial is a recovering New Jersey community bank whose net interest margin has expanded meaningfully (2.44% in Q2 2026, up from 2.19% a year earlier) as funding costs ease, driving net income up roughly 30% in the first half of 2026 versus the prior year [3]. Trading at 18.09x forward earnings with profit margins above 21%, the stock offers modest current income (1.74% yield) alongside recovery-driven earnings growth. Positive Inspire Insight attributions across Employee Wellbeing, Ethical Supply Chain Management, and Product Access and Affordability, together with a concrete $8.1 billion Community Benefits Agreement, support the bank's community-reinvestment credentials [1].</w:t>
      </w:r>
    </w:p>
    <w:p>
      <w:pPr>
        <w:spacing w:after="120"/>
      </w:pPr>
      <w:r>
        <w:rPr>
          <w:rFonts w:ascii="Calibri" w:hAnsi="Calibri"/>
          <w:b w:val="0"/>
          <w:color w:val="3A4A28"/>
          <w:sz w:val="20"/>
        </w:rPr>
        <w:t>The bear case centers on subpar capital efficiency: return on equity of only 5.02% is well below the 15% a well-run bank should generate, and the three-year revenue trend remains negative (~-4.5% CAGR) as the bank worked through a punishing 2023-2024 deposit-cost cycle [3][4]. As a single-state, ~$1.2 billion market-cap thrift, Columbia lacks the scale advantages of larger regional banks and has no disclosed AI or digital-underwriting initiatives to defend against fintech-driven margin compression over time. The recent earnings recovery is a positive inflection, but it is not yet clear whether NIM expansion will be sustained if the rate environment shifts again, and the stock's re-rating potential is capped without a clearer path to double-digit ROE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net interest margin expansion, which rose from 2.19% to 2.44% over the past year, could keep driving double-digit net income growth (+30% in H1 2026) if funding costs keep easing [3]</w:t>
      </w:r>
    </w:p>
    <w:p>
      <w:pPr>
        <w:spacing w:before="40" w:after="40"/>
        <w:ind w:left="283"/>
      </w:pPr>
      <w:r>
        <w:rPr>
          <w:rFonts w:ascii="Calibri" w:hAnsi="Calibri"/>
          <w:b/>
          <w:color w:val="4A6B25"/>
          <w:sz w:val="20"/>
        </w:rPr>
        <w:t xml:space="preserve">2. </w:t>
      </w:r>
      <w:r>
        <w:rPr>
          <w:rFonts w:ascii="Calibri" w:hAnsi="Calibri"/>
          <w:b w:val="0"/>
          <w:color w:val="3A4A28"/>
          <w:sz w:val="20"/>
        </w:rPr>
        <w:t>Further execution against the $8.1 billion Community Benefits Agreement could expand the bank's underserved-market lending footprint and reputational standing in its core New Jersey market [1]</w:t>
      </w:r>
    </w:p>
    <w:p>
      <w:pPr>
        <w:spacing w:before="40" w:after="40"/>
        <w:ind w:left="283"/>
      </w:pPr>
      <w:r>
        <w:rPr>
          <w:rFonts w:ascii="Calibri" w:hAnsi="Calibri"/>
          <w:b/>
          <w:color w:val="4A6B25"/>
          <w:sz w:val="20"/>
        </w:rPr>
        <w:t xml:space="preserve">3. </w:t>
      </w:r>
      <w:r>
        <w:rPr>
          <w:rFonts w:ascii="Calibri" w:hAnsi="Calibri"/>
          <w:b w:val="0"/>
          <w:color w:val="3A4A28"/>
          <w:sz w:val="20"/>
        </w:rPr>
        <w:t>Continued digital banking build-out under the bank's technology leadership could improve efficiency ratios and support ROE improvement toward peer levels over time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Return on equity of 5.02% remains well below the 15% level associated with well-capitalized, efficiently run banks, limiting the stock's re-rating potential until profitability improves structurally [3][4]</w:t>
      </w:r>
    </w:p>
    <w:p>
      <w:pPr>
        <w:spacing w:before="40" w:after="40"/>
        <w:ind w:left="283"/>
      </w:pPr>
      <w:r>
        <w:rPr>
          <w:rFonts w:ascii="Calibri" w:hAnsi="Calibri"/>
          <w:b/>
          <w:color w:val="4A6B25"/>
          <w:sz w:val="20"/>
        </w:rPr>
        <w:t xml:space="preserve">2. </w:t>
      </w:r>
      <w:r>
        <w:rPr>
          <w:rFonts w:ascii="Calibri" w:hAnsi="Calibri"/>
          <w:b w:val="0"/>
          <w:color w:val="3A4A28"/>
          <w:sz w:val="20"/>
        </w:rPr>
        <w:t>A renewed rise in deposit funding costs or a flattening/inverting yield curve could reverse the recent NIM recovery that is driving the current earnings improvement [3]</w:t>
      </w:r>
    </w:p>
    <w:p>
      <w:pPr>
        <w:spacing w:before="40" w:after="40"/>
        <w:ind w:left="283"/>
      </w:pPr>
      <w:r>
        <w:rPr>
          <w:rFonts w:ascii="Calibri" w:hAnsi="Calibri"/>
          <w:b/>
          <w:color w:val="4A6B25"/>
          <w:sz w:val="20"/>
        </w:rPr>
        <w:t xml:space="preserve">3. </w:t>
      </w:r>
      <w:r>
        <w:rPr>
          <w:rFonts w:ascii="Calibri" w:hAnsi="Calibri"/>
          <w:b w:val="0"/>
          <w:color w:val="3A4A28"/>
          <w:sz w:val="20"/>
        </w:rPr>
        <w:t>As a single-state community bank with no disclosed AI or digital-underwriting investment, Columbia is exposed to long-term margin compression from digital-only banks and fintech lenders competing for retail deposits and small-business loans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Community banking retains structural protection through local deposit relationships, regulatory relationship-lending requirements, and Columbia's ongoing digital banking investment, but retail deposit-taking and basic consumer lending are increasingly commoditized by AI-driven fintech and digital-only competitors, creating moderate long-term margin pressure risk [2][3]. No evidence was found of Columbia deploying AI for underwriting, fraud detection, or customer service automation, meaning it is not yet capturing efficiency gains larger regional and money-center banks are pursuing. AI Opportunity (0/1): No AI-specific product or revenue stream was identified for Columbia Bank.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Columbia Financial, Inc. Community Benefits Agreement and Corporate Governance disclosures -- ir.columbiabankonline.com,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Columbia Bank / Columbia Financial leadership profiles -- CEO Thomas J. Kemly tenure, Atlantic Stewardship Bank and Roselle Bank acquisitions, digital banking strategy -- Bloomberg, GlobeNewswire, Simply Wall St,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Columbia Financial, Inc. Q1 and Q2 2026 Financial Results -- net interest margin, net income, EPS -- GlobeNewswire, StockTitan, Nasdaq, February-July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stockanalysis.com -- CLBK key statistics: price $11.46, forward P/E 18.09, ROE 5.02%, profit margin 21.76%, average volume ~5,302,516,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