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CLMT</w:t>
      </w:r>
      <w:r>
        <w:rPr>
          <w:rFonts w:ascii="Calibri" w:hAnsi="Calibri"/>
          <w:b/>
          <w:color w:val="1A2010"/>
          <w:sz w:val="40"/>
        </w:rPr>
        <w:t xml:space="preserve">  Calumet, Inc.</w:t>
      </w:r>
    </w:p>
    <w:p>
      <w:pPr>
        <w:spacing w:after="120"/>
      </w:pPr>
      <w:r>
        <w:rPr>
          <w:rFonts w:ascii="Calibri" w:hAnsi="Calibri"/>
          <w:b/>
          <w:color w:val="6E8450"/>
          <w:sz w:val="18"/>
        </w:rPr>
        <w:t>GROWTH SLEEVE · 2026-09-21 · Inspire: 15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Specialty Chemicals · NASDAQ · United States</w:t>
      </w:r>
    </w:p>
    <w:p>
      <w:pPr>
        <w:spacing w:after="80"/>
      </w:pPr>
      <w:r>
        <w:rPr>
          <w:rFonts w:ascii="Calibri" w:hAnsi="Calibri"/>
          <w:b w:val="0"/>
          <w:color w:val="3A4A28"/>
          <w:sz w:val="20"/>
        </w:rPr>
        <w:t>Calumet manufactures, formulates, and markets specialty branded products and renewable fuels across North America. Founded in 1919 and headquartered in Indianapolis, the company operates through Specialty Products and Solutions (solvents, waxes, lubricating oils), Performance Brands (Royal Purple, Bel-Ray, TruFuel), and Montana/Renewables (renewable diesel, sustainable aviation fuel, renewable naphtha). Converted from MLP to C-corporation in 2024 and secured a $1.44B DOE loan for SAF expansion. MaxSAF 150 commenced production in May 2026. FY2025 revenue was $4.14B with a net loss of $33.8M, but 2026 EBITDA guidance of $525-550M reflects significant earnings acceleration. Market cap ~$5.2B.</w:t>
      </w:r>
    </w:p>
    <w:p>
      <w:r>
        <w:rPr>
          <w:rFonts w:ascii="Calibri" w:hAnsi="Calibri"/>
          <w:b/>
          <w:color w:val="6E8450"/>
          <w:sz w:val="18"/>
        </w:rPr>
        <w:t>1,540 Employees · https://www.calumet.com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Calumet executed a transformative strategic pivot, converting the Great Falls, Montana refinery into one of North America's largest SAF facilities, completing the MLP-to-C-corp conversion in 2024, and achieving record specialty products production in FY2025 [1]. MaxSAF 150 commenced production in May 2026 with 120-150M gallon annual capacity, a critical execution milestone. However, the company still reported a FY2025 net loss of $33.8M and the full 300M gallon annual capacity target remains ahead. AI Deployment (0/2): No evidence of AI-powered products, AI-driven operational optimization, or AI integration in refining or supply chain strategy; technology focus is entirely on renewable fuel process engineering and catalyst systems [2]. Market Share (1/2): Calumet is positioned as North America's largest SAF producer with 1,900+ specialty products and recognized premium brands (Royal Purple, Bel-Ray) serving ~2,400 customers, but overall market share in broader specialty chemicals remains modest against integrated majors [1]. Pipeline (1/2): MaxSAF expansion scaling toward 300M gallons annually backed by the $1.44B DOE loan with ~75% of maximum volumes contracted through offtake agreements, and capital requirements reduced from $150-250M to $20-30M demonstrating engineering efficiency [1]. R&amp;D Intensity (1/1): Significant capital investment in renewable fuel process technology and feedstock flexibility, though primarily capex-driven engineering rather than traditional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Calumet's century-long heritage and 'One Calumet, Calumet Proud' culture provide organizational depth, and the renewable fuels pivot adds genuine environmental purpose around decarbonizing aviation [1]. However, the strategic motivation appears primarily financial — capturing SAF tax credits (45Z Clean Fuel Production Credit) and renewable fuel standard premiums rather than a deeply held organizational mission. Community Impact (1/2): Calumet received EcoVadis Committed to Sustainability Badge with silver medal awards for Louisiana, Pennsylvania, and Texas facilities, demonstrating environmental stewardship beyond regulatory minimums [3]. SAF production inherently serves global decarbonization goals. Employee Retention (1/2): Great Place to Work certified with a lean workforce of 1,540 employees, suggesting operational cohesion [2]. However, CEO Todd Borgmann was appointed only in July 2024 and board average tenure is just 1.6 years, indicating significant leadership turnover during the critical transformation phase. Insider Buying (0/2): No evidence of meaningful net insider purchasing by executives.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Growth-sleeve metrics with D/E and ROE excluded due to the recent MLP-to-C-corp conversion restructuring the capital base. Revenue growth YoY of 40.8% (TTM quarterly basis) significantly exceeds the 10% target, reflecting Montana Renewables SAF production ramp and strong specialty products demand [1]. Forward PEG of 0.65 scores perfectly with 2x weight, as the company transitions from trailing EPS of -$1.54 to forward EPS of $0.63, implying massive earnings inflection [4]. Estimated 5-year revenue CAGR of ~5% scores partially (0.67), reflecting flat-to-declining FY2022-2025 annual revenue now accelerating. Major drags: Forward P/E of 93.1x (well above the 60x floor, scoring 0) due to the near-breakeven earnings base, and profit margin of -2.98% (below the 0% floor, scoring 0) reflecting the FY2025 net loss [1]. Liquidity floor easily cleared at $71.4M daily trading value (1.21M shares x $59.08).</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Calumet demonstrates genuine existential flexibility through its Montana Renewables pivot and MLP-to-C-corp conversion — a century-old company reinventing itself for the energy transition. However, the organizational purpose appears primarily financially motivated by government incentives rather than cause-driven, and short management and board tenures indicate the current leadership team is still establishing its strategic identity during the most critical phase of the transformation.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Calumet's renewable fuels pivot provides a surface-level purpose narrative around decarbonizing aviation through SAF production, and the century-long heritage demonstrates institutional resilience [1]. However, the primary driver is financial optimization through 45Z Clean Fuel Production Credits and DOE loan economics rather than a deeply held organizational cause. The specialty products core business ('solving real-world problems') serves industrial needs without an inspiring purpose beyond operational competence.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Great Place to Work certification signals above-average employee satisfaction across Calumet's twelve facilities, and the 'One Calumet' cultural initiative emphasizes collaborative performance values with just 1,540 employees [2]. However, CEO Todd Borgmann was appointed in July 2024 and the board averages only 1.6 years tenure — significant recent leadership turnover that undermines the deep trust-building Sinek's framework requires [2]. The operational workforce may be stable, but executive-level churn during a critical transformation creates organizational uncertainty.</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Calumet competes against larger specialty chemical and renewable fuel producers — Neste, World Energy, Valero Diamond Green Diesel — without framing competition in zero-sum terms. Management commentary focuses on Calumet's differentiated geographic advantages (Montana feedstock access), proprietary brands, and DOE-backed SAF capacity rather than competitor destruction [1]. However, the competitive self-awareness appears more pragmatic than growth-oriented.</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Montana Renewables buildout represents a genuine strategic pivot — transforming a conventional refinery into one of North America's largest SAF production facilities, fundamentally changing the company's growth trajectory and investor narrative from a declining MLP to a renewable fuels growth story [1]. The MLP-to-C-corp conversion was structural reinvention that sacrificed tax-advantaged distributions for better access to growth capital. These are substantive existential pivots, not incremental adjustments.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Calumet's leadership made genuinely courageous strategic decisions — converting from MLP to C-corp, investing heavily in Montana Renewables despite near-term earnings destruction, securing the $1.44B DOE loan, and executing $100M+ in structural cost reductions while paying down $222M of recourse debt in FY2025 [1]. The MaxSAF capital reduction from $150-250M to $20-30M demonstrates engineering discipline. However, the renewable fuels strategy remains heavily dependent on government incentive programs that could change with political shifts.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Calumet at $59.08 has nearly doubled since August 2026 as the MaxSAF thesis gains credibility — FY2025 achieved ~30% EBITDA growth with $100M+ structural cost reductions and $222M debt paydown, while 2026 EBITDA guidance of $525-550M (+80% YoY) reflects the transformative SAF production ramp [1]. The PEG ratio of 0.65 suggests the market still undervalues the earnings growth trajectory despite the elevated 93x forward P/E, as the company transitions from net loss to projected profitability. Revenue growth of 40.8% YoY confirms the inflection is underway with MaxSAF 150 production commencing in May 2026 at 120-150M gallons annual capacity, scaling to 300M gallons with ~75% contracted volumes [1]. The Specialty Products and Performance Brands segments provide stable cash flow while Royal Purple and Bel-Ray brands command premium pricing in their niches.</w:t>
      </w:r>
    </w:p>
    <w:p>
      <w:pPr>
        <w:spacing w:after="120"/>
      </w:pPr>
      <w:r>
        <w:rPr>
          <w:rFonts w:ascii="Calibri" w:hAnsi="Calibri"/>
          <w:b w:val="0"/>
          <w:color w:val="3A4A28"/>
          <w:sz w:val="20"/>
        </w:rPr>
        <w:t>The bear case centers on extreme valuation, execution risk, and policy dependency. Forward P/E of 93x on a stock that has doubled prices in near-perfect execution of the SAF ramp — any production shortfall, feedstock cost spike, or SAF pricing weakness could trigger severe multiple compression from already stretched levels [4]. Profit margin of -2.98% and unavailable D/E and ROE metrics (due to negative book value from the MLP conversion) mean the company has not yet demonstrated sustained profitability in its new structure [1]. The $1.44B DOE loan funds the SAF expansion but adds to the debt load ($825M+ drawn). Government incentive dependency is the existential risk: 45Z Clean Fuel Production Credits and Blenders Tax Credits provide the margin premium that makes SAF production economically viable, and any policy reversal would collapse the economics [1]. The Inspire Impact Score of 15 (MIXED) is neutral for faith-based allocation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MaxSAF 150 production commenced May 2026 with 120-150M gallon annual capacity, scaling to 300M gallons with DOE loan backing and ~75% contracted volumes, targeting 2026 EBITDA of $525-550M (+80% YoY) [1]</w:t>
      </w:r>
    </w:p>
    <w:p>
      <w:pPr>
        <w:spacing w:before="40" w:after="40"/>
        <w:ind w:left="283"/>
      </w:pPr>
      <w:r>
        <w:rPr>
          <w:rFonts w:ascii="Calibri" w:hAnsi="Calibri"/>
          <w:b/>
          <w:color w:val="4A6B25"/>
          <w:sz w:val="20"/>
        </w:rPr>
        <w:t xml:space="preserve">2. </w:t>
      </w:r>
      <w:r>
        <w:rPr>
          <w:rFonts w:ascii="Calibri" w:hAnsi="Calibri"/>
          <w:b w:val="0"/>
          <w:color w:val="3A4A28"/>
          <w:sz w:val="20"/>
        </w:rPr>
        <w:t>Structural cost reductions of $100M+ achieved in FY2025 with continued optimization, and $222M recourse debt paydown improving the balance sheet profile as the C-corp structure matures [1]</w:t>
      </w:r>
    </w:p>
    <w:p>
      <w:pPr>
        <w:spacing w:before="40" w:after="40"/>
        <w:ind w:left="283"/>
      </w:pPr>
      <w:r>
        <w:rPr>
          <w:rFonts w:ascii="Calibri" w:hAnsi="Calibri"/>
          <w:b/>
          <w:color w:val="4A6B25"/>
          <w:sz w:val="20"/>
        </w:rPr>
        <w:t xml:space="preserve">3. </w:t>
      </w:r>
      <w:r>
        <w:rPr>
          <w:rFonts w:ascii="Calibri" w:hAnsi="Calibri"/>
          <w:b w:val="0"/>
          <w:color w:val="3A4A28"/>
          <w:sz w:val="20"/>
        </w:rPr>
        <w:t>SAF market demand acceleration as airlines face regulatory mandates and voluntary decarbonization commitments — SAF currently represents &lt;1% of global jet fuel consumption, providing significant volume growth runway for early-mover producers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Government incentive dependency — 45Z Clean Fuel Production Credits and Blenders Tax Credits are the primary margin enablers for SAF production, and any policy change, phase-out, or failure to extend these credits would severely impair renewable fuels economics [1]</w:t>
      </w:r>
    </w:p>
    <w:p>
      <w:pPr>
        <w:spacing w:before="40" w:after="40"/>
        <w:ind w:left="283"/>
      </w:pPr>
      <w:r>
        <w:rPr>
          <w:rFonts w:ascii="Calibri" w:hAnsi="Calibri"/>
          <w:b/>
          <w:color w:val="4A6B25"/>
          <w:sz w:val="20"/>
        </w:rPr>
        <w:t xml:space="preserve">2. </w:t>
      </w:r>
      <w:r>
        <w:rPr>
          <w:rFonts w:ascii="Calibri" w:hAnsi="Calibri"/>
          <w:b w:val="0"/>
          <w:color w:val="3A4A28"/>
          <w:sz w:val="20"/>
        </w:rPr>
        <w:t>Valuation fragility at 93x forward P/E after the stock doubled — the entire thesis depends on successful SAF ramp, and any production miss, feedstock cost increase, or guidance reduction would trigger severe multiple compression from already extreme levels [4]</w:t>
      </w:r>
    </w:p>
    <w:p>
      <w:pPr>
        <w:spacing w:before="40" w:after="40"/>
        <w:ind w:left="283"/>
      </w:pPr>
      <w:r>
        <w:rPr>
          <w:rFonts w:ascii="Calibri" w:hAnsi="Calibri"/>
          <w:b/>
          <w:color w:val="4A6B25"/>
          <w:sz w:val="20"/>
        </w:rPr>
        <w:t xml:space="preserve">3. </w:t>
      </w:r>
      <w:r>
        <w:rPr>
          <w:rFonts w:ascii="Calibri" w:hAnsi="Calibri"/>
          <w:b w:val="0"/>
          <w:color w:val="3A4A28"/>
          <w:sz w:val="20"/>
        </w:rPr>
        <w:t>Negative profit margin (-2.98%), unavailable leverage and returns metrics, and $1.44B DOE loan obligations create financial fragility — the company has not yet proven it can generate sustained profitability in its new C-corp structure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Calumet's core businesses — specialty chemical manufacturing, petroleum refining, and renewable fuel production — are fundamentally physical-world operations with capital-intensive infrastructure that creates structural immunity to AI disruption [1]. Manufacturing waxes, solvents, lubricating oils, renewable diesel, and SAF requires complex refinery assets, chemical processing expertise, physical logistics, environmental permits, and regulatory compliance that software cannot replicate. The Montana Renewables SAF facility involves physical biochemical processing at industrial scale. Performance Brands (Royal Purple, Bel-Ray) benefit from brand loyalty and physical product distribution channels. However, negative profit margins (-2.98%) and commodity price exposure mean the business lacks the financial cushion to withstand any indirect competitive pressure from AI-optimized larger competitors [4]. AI Opportunity (0/1): No evidence of AI-driven revenue generation or AI-enhanced operations; the company's technology strategy is focused entirely on renewable fuel chemistry and feedstock optimization rather than digital innovation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15</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Calumet FY2025 Earnings Release and Q1 2026 Results — FY2025 Revenue $4.14B, Net Loss $33.8M, ~30% EBITDA Growth, $222M Debt Paydown, MaxSAF 150 Commenced May 2026, 2026 EBITDA Guide $525-550M — Calumet Investor Relations, February-May 2026</w:t>
      </w:r>
    </w:p>
    <w:p>
      <w:pPr>
        <w:spacing w:before="20" w:after="20"/>
        <w:ind w:left="170"/>
      </w:pPr>
      <w:r>
        <w:rPr>
          <w:rFonts w:ascii="Calibri" w:hAnsi="Calibri"/>
          <w:b/>
          <w:color w:val="4A6B25"/>
          <w:sz w:val="15"/>
        </w:rPr>
        <w:t xml:space="preserve">2. </w:t>
      </w:r>
      <w:r>
        <w:rPr>
          <w:rFonts w:ascii="Calibri" w:hAnsi="Calibri"/>
          <w:b w:val="0"/>
          <w:color w:val="3A4A28"/>
          <w:sz w:val="17"/>
        </w:rPr>
        <w:t>Calumet Leadership and Culture — CEO Todd Borgmann (July 2024), Board Avg Tenure 1.6yr, Great Place to Work Certified, 'One Calumet' Culture, 1,540 Employees — Simply Wall St, Great Place to Work, 2025-2026</w:t>
      </w:r>
    </w:p>
    <w:p>
      <w:pPr>
        <w:spacing w:before="20" w:after="20"/>
        <w:ind w:left="170"/>
      </w:pPr>
      <w:r>
        <w:rPr>
          <w:rFonts w:ascii="Calibri" w:hAnsi="Calibri"/>
          <w:b/>
          <w:color w:val="4A6B25"/>
          <w:sz w:val="15"/>
        </w:rPr>
        <w:t xml:space="preserve">3. </w:t>
      </w:r>
      <w:r>
        <w:rPr>
          <w:rFonts w:ascii="Calibri" w:hAnsi="Calibri"/>
          <w:b w:val="0"/>
          <w:color w:val="3A4A28"/>
          <w:sz w:val="17"/>
        </w:rPr>
        <w:t>Calumet ESG and Sustainability — EcoVadis Committed to Sustainability Badge, Silver Medals for LA/PA/TX Facilities, Responsible Operations Framework — EcoVadis, Calumet.com, 2024-2026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CLMT Key Statistics: Forward P/E 93.06x, PEG 0.65, Profit Margin -2.98%, Stock Price $59.08, Avg Volume 1.21M, Revenue Growth 40.8%,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