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CLM</w:t>
      </w:r>
      <w:r>
        <w:rPr>
          <w:rFonts w:ascii="Calibri" w:hAnsi="Calibri"/>
          <w:b/>
          <w:color w:val="1A2010"/>
          <w:sz w:val="40"/>
        </w:rPr>
        <w:t xml:space="preserve">  Cornerstone Strategic Investment Fund, Inc.</w:t>
      </w:r>
    </w:p>
    <w:p>
      <w:pPr>
        <w:spacing w:after="120"/>
      </w:pPr>
      <w:r>
        <w:rPr>
          <w:rFonts w:ascii="Calibri" w:hAnsi="Calibri"/>
          <w:b/>
          <w:color w:val="6E8450"/>
          <w:sz w:val="18"/>
        </w:rPr>
        <w:t>DIVIDEND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Equity · NYSE · United States</w:t>
      </w:r>
    </w:p>
    <w:p>
      <w:pPr>
        <w:spacing w:after="80"/>
      </w:pPr>
      <w:r>
        <w:rPr>
          <w:rFonts w:ascii="Calibri" w:hAnsi="Calibri"/>
          <w:b w:val="0"/>
          <w:color w:val="3A4A28"/>
          <w:sz w:val="20"/>
        </w:rPr>
        <w:t>Cornerstone Strategic Investment Fund is a closed-end equity mutual fund managed by Cornerstone Advisors, LLC, investing globally across diversified sectors in value and growth stocks. The fund pays monthly distributions with a stated distribution rate of ~21% annualized, though distributions are largely return of capital rather than investment income. As of June 2026, net assets were ~$1.99B with shares trading at a significant premium to NAV (~24% above NAV). The fund has been managed by Ralph W. Bradshaw since 2002, with Joshua G. Bradshaw taking over as CEO of Cornerstone Advisors in January 2025. Market cap ~$1.68B.</w:t>
      </w:r>
    </w:p>
    <w:p>
      <w:r>
        <w:rPr>
          <w:rFonts w:ascii="Calibri" w:hAnsi="Calibri"/>
          <w:b/>
          <w:color w:val="6E8450"/>
          <w:sz w:val="18"/>
        </w:rPr>
        <w:t>https://cornerstonestrategicinvestmentfund.com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Cornerstone Strategic Investment Fund is a passively-structured closed-end fund with no product launches, market pivots, or business model transformations. The fund has operated with the same strategy since its 1987 inception — investing in diversified equity markets. There is no innovation track record to evaluate; the fund exists to hold equities and distribute income [1]. AI Deployment (0/2): No AI deployment or AI strategy is evident. The fund is managed by a small team at Cornerstone Advisors with no publicly disclosed AI tools, quantitative strategies, or technology-driven investment capabilities. Market Share (0/2): CLM has no meaningful market share differentiation in the closed-end fund space. The fund competes with thousands of other equity-focused closed-end funds and ETFs, with no category leadership or unique positioning beyond its unusually high distribution rate. Product Pipeline (0/2): No next-generation products, strategy changes, or innovations are planned or disclosed. The fund continues its established equity investment approach. R&amp;D Intensity (1/1): The 1.16% expense ratio partially covers investment research and management fees, which is standard for the closed-end fund industry. No additional R&amp;D investment is applicable to a fund 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was identified for Cornerstone Strategic Investment Fund or Cornerstone Advisors beyond the standard fund objective of seeking capital appreciation and income [1]. The fund does not articulate why it exists beyond generating returns for shareholders. Community Impact (0/2): No evidence of charitable giving, community programs, or social impact initiatives was found for either the fund or Cornerstone Advisors. The fund structure and small management team provide minimal capacity or institutional incentive for community investment. Employee Retention (0/2): Cornerstone Advisors is a small fund management firm — no employee retention or tenure data is publicly available beyond the management continuity of Ralph Bradshaw (portfolio manager since 2002) and the family succession to Joshua Bradshaw as CEO in January 2025 [1]. Insider Buying (1/2): The Bradshaw family maintains leadership of Cornerstone Advisors across generations (Ralph as Chairman/portfolio manager, Joshua as CEO/President), suggesting long-term commitment to the fund. However, no evidence of meaningful personal investment or insider buying in CLM shares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on available dividend metrics only, as most corporate financial metrics (D/E, ROE, revenue growth, profit margin, Forward P/E, PEG) are not applicable or meaningful for a closed-end fund structure [1]. Consecutive Years Paid scores 1.0 (2x weight) — CLM has paid distributions continuously since its 1987 inception, approximately 38+ years of consecutive payments. However, Payout Ratio scores 0 — distributions exceed investment income, with the ~21% annualized rate largely funded by return of capital rather than earnings. Consecutive Years Growth scores 0 — distributions have been declining over time, not growing. 5yr Dividend Growth CAGR scores 0 (2x weight) — distributions have shrunk, not grown, over the past 5 years. The fund trades at a ~24% premium to NAV as of June 2026, meaning investors pay $1.24 for every $1.00 of underlying asset value — a structural drag on returns [1]. Daily dollar volume of ~$6.2M ($6.73 x 926K shares)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Cornerstone Strategic Investment Fund operates with a finite mindset focused on maintaining its high distribution rate to attract yield-seeking retail investors, even when distributions are funded by return of capital rather than investment income. The fund has persisted for 38+ years, which reflects institutional durability, but the distribution policy — which erodes NAV over time while the stock trades at a premium — serves short-term income maximization rather than long-term wealth creation. The Bradshaw family succession provides leadership continuity but the fund's structure lacks a Just Cause beyond generating income.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Cornerstone Strategic Investment Fund exists to invest in equities and distribute income to shareholders — this is a financial function, not a vision of a better future [1]. There is no articulated purpose beyond generating returns. The fund does not claim to advance any cause, build any capability, or serve any mission beyond its investment objective. This is the definition of a finite player: it exists to win the income generation game.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Bradshaw family has provided stable management continuity — Ralph Bradshaw has managed the portfolio since 2002 and Joshua Bradshaw succeeded as CEO in January 2025, with the transition handled smoothly [1]. This family succession suggests organizational stability and trust within the small management team. However, Cornerstone Advisors is a very small firm managing only CLM and Cornerstone Total Return Fund (CRF), so the 'team' is extremely limited and the trust question is more about family governance than organizational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that Cornerstone Advisors acknowledges competitors' strengths or uses competitive pressure for self-improvement. The fund does not publicly compare its strategy or performance to rival closed-end funds or ETFs. The 24% premium to NAV and 21% distribution rate suggest a marketing-oriented competitive strategy (attracting yield-seekers) rather than a performance-oriented approach that learns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fund has operated with essentially the same strategy since 1987 — diversified equity investing with high distributions. No strategic pivots, market expansions, or fundamental changes to the investment approach have been made in nearly four decades [1]. The transition from Ralph to Joshua Bradshaw represents leadership succession, not strategic evolution. The fund's approach is rigid by design.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decisions was identified. The fund's most notable strategic choice — maintaining a ~21% distribution rate funded largely by return of capital — is the opposite of courage. It optimizes for short-term yield at the cost of long-term NAV erosion [1]. A courageous decision would be to cut the distribution to a sustainable level, but this would reduce the premium to NAV and shrink management fee income. Leadership has consistently chosen short-term income attraction over long-term wealth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CLM offers a 21.66% stated distribution yield for income-focused investors who prioritize current cash flow over total return, with 38+ years of continuous monthly distributions providing a long payment history [1]. The fund is managed by the Bradshaw family with 20+ years of portfolio management continuity, providing institutional stability. The diversified equity portfolio provides broad market exposure across global equities. Net assets of ~$1.99B and daily dollar volume of ~$6.2M provide adequate liquidity. The closed-end fund structure allows the fund to remain fully invested without redemption risk, a structural advantage over open-end funds during market dislocations.</w:t>
      </w:r>
    </w:p>
    <w:p>
      <w:pPr>
        <w:spacing w:after="120"/>
      </w:pPr>
      <w:r>
        <w:rPr>
          <w:rFonts w:ascii="Calibri" w:hAnsi="Calibri"/>
          <w:b w:val="0"/>
          <w:color w:val="3A4A28"/>
          <w:sz w:val="20"/>
        </w:rPr>
        <w:t>The bear case is compelling and fundamental. The 21% distribution rate is largely funded by return of capital — shareholders are receiving their own money back, not investment income — which erodes NAV over time and represents a wealth-destructive distribution policy [1]. The fund trades at a ~24% premium to NAV as of June 2026, meaning investors pay $1.24 for every $1.00 of underlying assets, creating an immediate 19% potential loss if the premium normalizes. The 1.16% expense ratio on a fund that essentially holds diversified equities provides questionable value relative to index ETFs charging 0.03-0.10%. The distribution has been declining over time (0 consecutive years of growth, negative 5-year CAGR), and rights offerings have been used to raise additional capital — diluting existing shareholders. The Inspire Impact Score of 0 (MIXED) reflects the fund's lack of any specific ESG characteristics, positive or negative. For investors seeking equity income, dividend-growth ETFs or individual dividend aristocrats provide superior total return with lower fees and no NAV premium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Equity market rally could increase NAV and support the distribution rate, though any gains would be diluted by the 24% premium investors pay above underlying asset value [1]</w:t>
      </w:r>
    </w:p>
    <w:p>
      <w:pPr>
        <w:spacing w:before="40" w:after="40"/>
        <w:ind w:left="283"/>
      </w:pPr>
      <w:r>
        <w:rPr>
          <w:rFonts w:ascii="Calibri" w:hAnsi="Calibri"/>
          <w:b/>
          <w:color w:val="4A6B25"/>
          <w:sz w:val="20"/>
        </w:rPr>
        <w:t xml:space="preserve">2. </w:t>
      </w:r>
      <w:r>
        <w:rPr>
          <w:rFonts w:ascii="Calibri" w:hAnsi="Calibri"/>
          <w:b w:val="0"/>
          <w:color w:val="3A4A28"/>
          <w:sz w:val="20"/>
        </w:rPr>
        <w:t>If the fund reduces its distribution rate to a sustainable level, the NAV erosion would slow and the fund could transition toward a more durable income model — though this would likely compress the premium</w:t>
      </w:r>
    </w:p>
    <w:p>
      <w:pPr>
        <w:spacing w:before="40" w:after="40"/>
        <w:ind w:left="283"/>
      </w:pPr>
      <w:r>
        <w:rPr>
          <w:rFonts w:ascii="Calibri" w:hAnsi="Calibri"/>
          <w:b/>
          <w:color w:val="4A6B25"/>
          <w:sz w:val="20"/>
        </w:rPr>
        <w:t xml:space="preserve">3. </w:t>
      </w:r>
      <w:r>
        <w:rPr>
          <w:rFonts w:ascii="Calibri" w:hAnsi="Calibri"/>
          <w:b w:val="0"/>
          <w:color w:val="3A4A28"/>
          <w:sz w:val="20"/>
        </w:rPr>
        <w:t>New CEO Joshua Bradshaw (January 2025) could introduce strategic changes to the fund's approach, including potential adoption of covered call strategies or other income-enhancing techniques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 is largely return of capital, not investment income — shareholders receive their own money back while NAV erodes, creating a wealth-destructive illusion of high yield [1]</w:t>
      </w:r>
    </w:p>
    <w:p>
      <w:pPr>
        <w:spacing w:before="40" w:after="40"/>
        <w:ind w:left="283"/>
      </w:pPr>
      <w:r>
        <w:rPr>
          <w:rFonts w:ascii="Calibri" w:hAnsi="Calibri"/>
          <w:b/>
          <w:color w:val="4A6B25"/>
          <w:sz w:val="20"/>
        </w:rPr>
        <w:t xml:space="preserve">2. </w:t>
      </w:r>
      <w:r>
        <w:rPr>
          <w:rFonts w:ascii="Calibri" w:hAnsi="Calibri"/>
          <w:b w:val="0"/>
          <w:color w:val="3A4A28"/>
          <w:sz w:val="20"/>
        </w:rPr>
        <w:t>24% premium to NAV means investors pay $1.24 for every $1.00 of underlying assets — any premium compression (market correction, distribution cut, rights offering) could produce losses of 19%+ independent of market performance [1]</w:t>
      </w:r>
    </w:p>
    <w:p>
      <w:pPr>
        <w:spacing w:before="40" w:after="40"/>
        <w:ind w:left="283"/>
      </w:pPr>
      <w:r>
        <w:rPr>
          <w:rFonts w:ascii="Calibri" w:hAnsi="Calibri"/>
          <w:b/>
          <w:color w:val="4A6B25"/>
          <w:sz w:val="20"/>
        </w:rPr>
        <w:t xml:space="preserve">3. </w:t>
      </w:r>
      <w:r>
        <w:rPr>
          <w:rFonts w:ascii="Calibri" w:hAnsi="Calibri"/>
          <w:b w:val="0"/>
          <w:color w:val="3A4A28"/>
          <w:sz w:val="20"/>
        </w:rPr>
        <w:t>1.16% expense ratio provides questionable value versus index ETFs at 0.03-0.10%, especially given the fund's diversified equity strategy that does not demonstrate alpha generation or unique portfolio construction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 closed-end equity fund is structurally immune to AI disruption in the sense that AI cannot replace the fund's core function — holding a diversified portfolio of equities and distributing income to shareholders [1]. The fund management process (portfolio construction, rebalancing, distribution decisions) is simple enough that AI could enhance it but not displace it. The underlying equity holdings are diversified across sectors, spreading any AI disruption risk across the portfolio. The only risk factor is that passive equity investing is increasingly commoditized through low-cost ETFs and robo-advisors, and AI-powered investment tools could further erode the value proposition of actively managed closed-end funds charging 1.16% in expenses. AI Opportunity (0/1): Cornerstone Strategic Investment Fund does not generate any AI-related revenue. The fund is a passive equity holder with no AI products, AI-driven investment strategy, or technology-related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Cornerstone Strategic Investment Fund Data — Price $6.73, NAV ~$5.43 (24% Premium), Yield 21.66%, Expense Ratio 1.16%, Net Assets $1.99B, StockAnalysis / CEFConnect / Morningstar / SEC N-CSR Filings, September 2026</w:t>
      </w:r>
    </w:p>
    <w:p>
      <w:pPr>
        <w:spacing w:before="20" w:after="20"/>
        <w:ind w:left="170"/>
      </w:pPr>
      <w:r>
        <w:rPr>
          <w:rFonts w:ascii="Calibri" w:hAnsi="Calibri"/>
          <w:b/>
          <w:color w:val="4A6B25"/>
          <w:sz w:val="15"/>
        </w:rPr>
        <w:t xml:space="preserve">2. </w:t>
      </w:r>
      <w:r>
        <w:rPr>
          <w:rFonts w:ascii="Calibri" w:hAnsi="Calibri"/>
          <w:b w:val="0"/>
          <w:color w:val="3A4A28"/>
          <w:sz w:val="17"/>
        </w:rPr>
        <w:t>Cornerstone Advisors Leadership — Ralph Bradshaw (Portfolio Manager Since 2002, Chairman), Joshua Bradshaw (CEO Since January 2025), Monthly Distribution Declarations, SEC Filings / QuiverQuant,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