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CLX</w:t>
      </w:r>
      <w:r>
        <w:rPr>
          <w:rFonts w:ascii="Calibri" w:hAnsi="Calibri"/>
          <w:b/>
          <w:color w:val="1A2010"/>
          <w:sz w:val="40"/>
        </w:rPr>
        <w:t xml:space="preserve">  The Clorox Company</w:t>
      </w:r>
    </w:p>
    <w:p>
      <w:pPr>
        <w:spacing w:after="120"/>
      </w:pPr>
      <w:r>
        <w:rPr>
          <w:rFonts w:ascii="Calibri" w:hAnsi="Calibri"/>
          <w:b/>
          <w:color w:val="6E8450"/>
          <w:sz w:val="18"/>
        </w:rPr>
        <w:t>DIVIDEND SLEEVE · 2026-09-10 · Inspire: -67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Defensive · Household &amp; Personal Products · NYSE · United States</w:t>
      </w:r>
    </w:p>
    <w:p>
      <w:pPr>
        <w:spacing w:after="80"/>
      </w:pPr>
      <w:r>
        <w:rPr>
          <w:rFonts w:ascii="Calibri" w:hAnsi="Calibri"/>
          <w:b w:val="0"/>
          <w:color w:val="3A4A28"/>
          <w:sz w:val="20"/>
        </w:rPr>
        <w:t>The Clorox Company manufactures and markets consumer and professional products globally through four segments: Health and Wellness, Household, Lifestyle, and International. Iconic brands include Clorox, Pine-Sol, Glad, Brita, Burt's Bees, Kingsford, Hidden Valley, and Fresh Step. CEO Linda Rendle is driving the IGNITE strategy to transform Clorox into a faster-growing, digitally enabled company with $3B in targeted cost savings. FY2026 (ending June 2026) revenue was $6.72B (-5.4% YoY) with earnings of $587M (-27.5%), as the company continues recovering from the August 2023 cyberattack while navigating inflation and private-label competition. The company is a Dividend Aristocrat with 50 consecutive years of dividend increases.</w:t>
      </w:r>
    </w:p>
    <w:p>
      <w:r>
        <w:rPr>
          <w:rFonts w:ascii="Calibri" w:hAnsi="Calibri"/>
          <w:b/>
          <w:color w:val="6E8450"/>
          <w:sz w:val="18"/>
        </w:rPr>
        <w:t>8,600 Employees · https://www.thecloroxcompany.com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Clorox is executing the multi-year IGNITE digital transformation, but FY2026 revenue declined 5.4% to $6.72B with organic sales down 1%, and earnings fell 27.5% to $587M [2]. The company has fully recovered from the August 2023 cyberattack but growth remains elusive — FY2027 guidance of -1.5% to +0.5% organic growth signals continued headwinds. The removal of certified colors from U.S. cereals and school foods by summer 2026 shows consumer responsiveness but is incremental innovation [1]. AI Deployment (1/2): CEO Rendle is building 'digital consumer personas' using AI for consumer insights and has declared that AI will change how everyone at Clorox works. AI is deployed across supply chain optimization, marketing targeting, and product development acceleration [2]. However, AI remains an operational efficiency tool rather than a product differentiator or revenue driver. Market Share (2/2): Clorox holds #1 or #2 brand positions across multiple categories — #1 in bleach (Clorox), #1 in trash bags (Glad), #1 in water filtration (Brita), #1 in charcoal (Kingsford), and strong positions in dressings (Hidden Valley) and cat litter (Fresh Step) [2]. These dominant brand positions persist despite private-label competition and the revenue decline. Pipeline (1/2): Product line extensions, clean-ingredient initiatives, and sustainability packaging improvements are consistent but incremental. The IGNITE strategy focuses on cost savings and digital enablement rather than breakthrough new products. No transformative new category entry is visible in the near-term pipeline. R&amp;D Intensity (1/1): R&amp;D spending is consistent with CPG peers, and the IGNITE investment in digital capabilities represents meaningful technology spending relative to the industry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Clorox's purpose of 'making a positive impact on people, communities and the planet' goes beyond selling cleaning products and connects the company's work to broader social and environmental impact [3]. The IGNITE strategy integrates this purpose into business operations. However, the statement is generic — it could apply to virtually any consumer products company — and the declining revenue trajectory raises questions about whether the purpose drives strategic decisions or is aspirational framing. Community Impact (2/2): Clorox's ESG commitments are substantial and quantified: 50% virgin plastic and fiber reduction by 2030, 100% recyclable or reusable packaging, 100% renewable electricity in U.S. and Canada operations, and science-based greenhouse gas emissions targets [3]. The company has published 56+ consecutive years of corporate responsibility reporting, demonstrating long-standing institutional commitment. Environmental sustainability governance was formalized through a board committee in 2017. Employee Retention (1/2): The IGNITE strategy includes leadership development investments, and Chris Hyder's appointment as COO with Nina Barton as Chief Growth &amp; Strategy Officer shows organizational depth [2]. However, culture reviews indicate 'uneven experiences across functions,' 'favoritism and top-down pressure' in some areas, and process heaviness creating friction that slows decisions. Insider Buying (0/2): No evidence of meaningful net insider buying by CEO Rendle or other executives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Dividend sleeve metrics. The primary drag is extreme leverage — D/E of 1958.7% ($2.7B total debt on just $138M shareholders' equity) scores 0, a consequence of decades of aggressive share buybacks eroding the equity base [4]. Conversely, ROE of 546.1% scores a perfect 1.0, though this is mathematically inflated by the tiny equity denominator rather than reflecting genuinely exceptional capital efficiency [4]. Forward P/E of 13.90x is deeply discounted below the 20x target, scoring 1.0, reflecting the market's skepticism about growth prospects [4]. Revenue growth YoY of -5.4% (score 0.49) and 5-year revenue CAGR of approximately -2% (score 0.20) reflect the challenging operating environment [2]. Profit margin of 11.18% is below the 20% target (score 0.56). On dividend metrics: consecutive years paid of approximately 60 (score 1.0, 2x weight) and consecutive years of dividend increases of 50 (score 1.0) anchor the Dividend Aristocrat profile [4]. However, payout ratio of approximately 106% exceeds 100% (score 0.0), signaling that dividends currently exceed earnings — a condition that cannot persist without earnings recovery. The 5-year dividend growth CAGR of 2.05% is modest (score 0.34, 2x weight). Daily dollar volume of approximately $150M provides ample liquidity.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Clorox demonstrates a mix of infinite and finite game characteristics. The 113-year corporate history (founded 1913), 50 consecutive years of dividend increases, and purpose-driven IGNITE strategy show long-term orientation. However, the company has been essentially the same business for decades without fundamental reinvention, and the culture challenges ('uneven experiences,' process heaviness) suggest finite-game organizational dynamics that prioritize hierarchy over trust.</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Clorox's purpose of 'making a positive impact on people, communities and the planet' is genuine — the ESG commitments (100% renewable electricity, 50% plastic reduction, science-based emissions targets) show willingness to invest in the cause [3]. However, the purpose is generic rather than distinctive, and the FY2026 revenue decline and earnings drop suggest the cause is not currently driving strategic differentiation or innovation. The 113-year history demonstrates endurance but not a transcendent vision.</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Clorox has invested in leadership development and organizational capability — the IGNITE strategy explicitly targets cultural transformation, and recent leadership moves (Chris Hyder as COO, Nina Barton as Chief Growth &amp; Strategy Officer) show executive bench depth [2]. However, culture reviews indicate 'uneven experiences across functions and locations,' 'favoritism and top-down pressure,' and 'process heaviness that slows decisions,' suggesting organizational trust is inconsistent rather than deeply embedded.</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Clorox competes against P&amp;G, SC Johnson, Unilever, and aggressive private-label brands. The company's strategic response — investing in digital consumer insights, sustainability differentiation, and cost savings — demonstrates competitive self-awareness and a focus on improving its own capabilities rather than simply trying to outspend competitors [2]. The willingness to acknowledge competitive threats from private label and DTC brands, and invest in the IGNITE transformation to address them, reflects the worthy rival mindset.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Over its 113-year history, Clorox has expanded from a single-product bleach company to a diversified consumer products portfolio through strategic acquisitions (Glad, Burt's Bees, Brita, Kingsford). The IGNITE digital transformation represents a meaningful strategic evolution toward becoming a digitally enabled consumer goods company [2]. However, the core business model — manufacturing branded consumer products for retail distribution — has not fundamentally changed, and the acquisitions represent portfolio expansion rather than existential reinvention.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IGNITE strategy with $3B in targeted cost savings by FY2030 is a meaningful multi-year transformation commitment. Clorox's leadership steered through multiple major disruptions — the pandemic, inflation, and the devastating August 2023 cyberattack — while continuing to invest in strategic transformation [2]. The cyberattack recovery demonstrated organizational resilience. However, the company has not made the kind of costly strategic bets that sacrifice near-term earnings for long-term positioning — the IGNITE strategy is fundamentally defensive (cost savings) rather than offensive (new market creation).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Clorox at 13.9x forward earnings and 5.57% dividend yield is a deep-value Dividend Aristocrat with 50 consecutive years of increases and dominant #1/#2 brand positions across bleach, trash bags, water filtration, and charcoal [4]. The IGNITE strategy's $3B cost savings target by FY2030 should rebuild margins from the current 11.18% profit margin, and Q3 FY2026 EPS of $1.54 (+3% YoY) demonstrates the early stages of earnings recovery [1]. The forward P/E of 13.9x is deeply discounted relative to the consumer staples sector average of ~18-20x, suggesting meaningful multiple re-rating potential if growth returns. The 113-year corporate history and category-leading brands provide defensible market positions that should persist through economic cycles.</w:t>
      </w:r>
    </w:p>
    <w:p>
      <w:pPr>
        <w:spacing w:after="120"/>
      </w:pPr>
      <w:r>
        <w:rPr>
          <w:rFonts w:ascii="Calibri" w:hAnsi="Calibri"/>
          <w:b w:val="0"/>
          <w:color w:val="3A4A28"/>
          <w:sz w:val="20"/>
        </w:rPr>
        <w:t>The bear case centers on structural growth challenges and unsustainable dividend coverage. FY2026 revenue of $6.72B declined 5.4% with organic sales down 1%, and FY2027 guidance of -1.5% to +0.5% organic growth offers no near-term inflection point [2]. The payout ratio of approximately 106% means dividends exceed current earnings — mathematically unsustainable without significant earnings recovery, and the 5-year dividend growth CAGR of just 2.05% barely exceeds inflation. D/E of 1958.7% ($2.7B debt on $138M equity) creates vulnerability to rising interest rates, though the ROE of 546.1% is artificially inflated by the tiny equity base from buybacks [4]. Private-label competition continues to erode branded product premiums in a price-sensitive consumer environment. The August 2023 cyberattack aftermath exposed operational fragility. The Inspire Impact Score of -67 (MISALIGNED) may limit allocation for faith-based investors due to Abortion Activism and LGBT Activism negative attributions despite 17 positive ESG attributions.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IGNITE strategy cost savings program targeting $3B by FY2030, with early margin improvements visible in Q3 FY2026 gross margin of 43.2% despite higher manufacturing and logistics costs [1]</w:t>
      </w:r>
    </w:p>
    <w:p>
      <w:pPr>
        <w:spacing w:before="40" w:after="40"/>
        <w:ind w:left="283"/>
      </w:pPr>
      <w:r>
        <w:rPr>
          <w:rFonts w:ascii="Calibri" w:hAnsi="Calibri"/>
          <w:b/>
          <w:color w:val="4A6B25"/>
          <w:sz w:val="20"/>
        </w:rPr>
        <w:t xml:space="preserve">2. </w:t>
      </w:r>
      <w:r>
        <w:rPr>
          <w:rFonts w:ascii="Calibri" w:hAnsi="Calibri"/>
          <w:b w:val="0"/>
          <w:color w:val="3A4A28"/>
          <w:sz w:val="20"/>
        </w:rPr>
        <w:t>Multiple re-rating potential from forward P/E of 13.9x (30%+ discount to consumer staples sector average of 18-20x) if organic revenue growth returns to positive territory [4]</w:t>
      </w:r>
    </w:p>
    <w:p>
      <w:pPr>
        <w:spacing w:before="40" w:after="40"/>
        <w:ind w:left="283"/>
      </w:pPr>
      <w:r>
        <w:rPr>
          <w:rFonts w:ascii="Calibri" w:hAnsi="Calibri"/>
          <w:b/>
          <w:color w:val="4A6B25"/>
          <w:sz w:val="20"/>
        </w:rPr>
        <w:t xml:space="preserve">3. </w:t>
      </w:r>
      <w:r>
        <w:rPr>
          <w:rFonts w:ascii="Calibri" w:hAnsi="Calibri"/>
          <w:b w:val="0"/>
          <w:color w:val="3A4A28"/>
          <w:sz w:val="20"/>
        </w:rPr>
        <w:t>Dividend Aristocrat status with 50 consecutive years of increases and 5.57% current yield, providing income floor while the turnaround progresses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Unsustainable dividend coverage with payout ratio of approximately 106% exceeding earnings — if the earnings recovery stalls, Clorox faces the first dividend cut in 50+ years, which would destroy the Dividend Aristocrat premium [4]</w:t>
      </w:r>
    </w:p>
    <w:p>
      <w:pPr>
        <w:spacing w:before="40" w:after="40"/>
        <w:ind w:left="283"/>
      </w:pPr>
      <w:r>
        <w:rPr>
          <w:rFonts w:ascii="Calibri" w:hAnsi="Calibri"/>
          <w:b/>
          <w:color w:val="4A6B25"/>
          <w:sz w:val="20"/>
        </w:rPr>
        <w:t xml:space="preserve">2. </w:t>
      </w:r>
      <w:r>
        <w:rPr>
          <w:rFonts w:ascii="Calibri" w:hAnsi="Calibri"/>
          <w:b w:val="0"/>
          <w:color w:val="3A4A28"/>
          <w:sz w:val="20"/>
        </w:rPr>
        <w:t>Structural revenue decline with FY2026 revenue -5.4% and FY2027 guidance of -1.5% to +0.5% organic growth, as private-label competition, price sensitivity, and category maturity limit top-line recovery [2]</w:t>
      </w:r>
    </w:p>
    <w:p>
      <w:pPr>
        <w:spacing w:before="40" w:after="40"/>
        <w:ind w:left="283"/>
      </w:pPr>
      <w:r>
        <w:rPr>
          <w:rFonts w:ascii="Calibri" w:hAnsi="Calibri"/>
          <w:b/>
          <w:color w:val="4A6B25"/>
          <w:sz w:val="20"/>
        </w:rPr>
        <w:t xml:space="preserve">3. </w:t>
      </w:r>
      <w:r>
        <w:rPr>
          <w:rFonts w:ascii="Calibri" w:hAnsi="Calibri"/>
          <w:b w:val="0"/>
          <w:color w:val="3A4A28"/>
          <w:sz w:val="20"/>
        </w:rPr>
        <w:t>Extreme leverage at D/E of 1958.7% ($2.7B debt / $138M equity) creates interest expense burden and financial fragility in a rising rate environment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Clorox's core business — manufacturing and selling physical consumer products (bleach, trash bags, water filters, charcoal) — is fundamentally protected from AI disruption. These products require physical manufacturing, distribution infrastructure, and brand trust that AI cannot replicate [2]. Retail distribution relationships and shelf space positions create structural advantages. However, AI could enable more effective competitors in three ways: (1) DTC brands using AI-driven marketing and personalization to erode traditional brand premiums, (2) private-label manufacturers using AI to optimize formulations and reduce the quality gap with branded products, and (3) retailers deploying AI to promote own-brand alternatives more aggressively. Clorox's IGNITE digital transformation and AI-powered consumer personas are defensive investments against these threats. AI Opportunity (1/1): AI deployment for digital consumer personas, supply chain optimization, marketing targeting, and product development acceleration generates measurable efficiency gains that should support margin expansion and competitive positioning [2]. The company's scale and data advantages in consumer insights create meaningful AI upside if executed well.</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-67</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Abortion Activism </w:t>
      </w:r>
      <w:r>
        <w:rPr>
          <w:rFonts w:ascii="Calibri" w:hAnsi="Calibri"/>
          <w:b w:val="0"/>
          <w:color w:val="9DAF88"/>
          <w:sz w:val="17"/>
        </w:rPr>
        <w:t xml:space="preserve">  ·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Clorox Q3 FY2026 Results — Net sales $1.67B flat YoY, organic sales -1%, EPS $1.54 (+3%), gross margin 43.2% (-140bps), Clorox Investor Relations, May 2026</w:t>
      </w:r>
    </w:p>
    <w:p>
      <w:pPr>
        <w:spacing w:before="20" w:after="20"/>
        <w:ind w:left="170"/>
      </w:pPr>
      <w:r>
        <w:rPr>
          <w:rFonts w:ascii="Calibri" w:hAnsi="Calibri"/>
          <w:b/>
          <w:color w:val="4A6B25"/>
          <w:sz w:val="15"/>
        </w:rPr>
        <w:t xml:space="preserve">2. </w:t>
      </w:r>
      <w:r>
        <w:rPr>
          <w:rFonts w:ascii="Calibri" w:hAnsi="Calibri"/>
          <w:b w:val="0"/>
          <w:color w:val="3A4A28"/>
          <w:sz w:val="17"/>
        </w:rPr>
        <w:t>Clorox FY2026 Annual Results &amp; IGNITE Strategy — Revenue $6.72B (-5.4%), earnings $587M (-27.5%), AI-powered consumer personas, digital transformation, CEO Linda Rendle, August 2026</w:t>
      </w:r>
    </w:p>
    <w:p>
      <w:pPr>
        <w:spacing w:before="20" w:after="20"/>
        <w:ind w:left="170"/>
      </w:pPr>
      <w:r>
        <w:rPr>
          <w:rFonts w:ascii="Calibri" w:hAnsi="Calibri"/>
          <w:b/>
          <w:color w:val="4A6B25"/>
          <w:sz w:val="15"/>
        </w:rPr>
        <w:t xml:space="preserve">3. </w:t>
      </w:r>
      <w:r>
        <w:rPr>
          <w:rFonts w:ascii="Calibri" w:hAnsi="Calibri"/>
          <w:b w:val="0"/>
          <w:color w:val="3A4A28"/>
          <w:sz w:val="17"/>
        </w:rPr>
        <w:t>Clorox ESG &amp; Sustainability Goals — 50% plastic reduction by 2030, 100% recyclable packaging, 100% renewable electricity, science-based emissions targets, 56th Global Responsibility Report</w:t>
      </w:r>
    </w:p>
    <w:p>
      <w:pPr>
        <w:spacing w:before="20" w:after="20"/>
        <w:ind w:left="170"/>
      </w:pPr>
      <w:r>
        <w:rPr>
          <w:rFonts w:ascii="Calibri" w:hAnsi="Calibri"/>
          <w:b/>
          <w:color w:val="4A6B25"/>
          <w:sz w:val="15"/>
        </w:rPr>
        <w:t xml:space="preserve">4. </w:t>
      </w:r>
      <w:r>
        <w:rPr>
          <w:rFonts w:ascii="Calibri" w:hAnsi="Calibri"/>
          <w:b w:val="0"/>
          <w:color w:val="3A4A28"/>
          <w:sz w:val="17"/>
        </w:rPr>
        <w:t>StockAnalysis, AlphaQuery, MacroTrends — CLX key statistics: Forward PE 13.90x, D/E 1958.7%, ROE 546.1%, Profit Margin 11.18%, Dividend Yield 5.57%,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