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CL</w:t>
      </w:r>
      <w:r>
        <w:rPr>
          <w:rFonts w:ascii="Calibri" w:hAnsi="Calibri"/>
          <w:b/>
          <w:color w:val="1A2010"/>
          <w:sz w:val="40"/>
        </w:rPr>
        <w:t xml:space="preserve">  Colgate-Palmolive Company</w:t>
      </w:r>
    </w:p>
    <w:p>
      <w:pPr>
        <w:spacing w:after="120"/>
      </w:pPr>
      <w:r>
        <w:rPr>
          <w:rFonts w:ascii="Calibri" w:hAnsi="Calibri"/>
          <w:b/>
          <w:color w:val="6E8450"/>
          <w:sz w:val="18"/>
        </w:rPr>
        <w:t>DIVIDEND SLEEVE · 2026-10-21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Household &amp; Personal Products · NYQ · United States</w:t>
      </w:r>
    </w:p>
    <w:p>
      <w:pPr>
        <w:spacing w:after="80"/>
      </w:pPr>
      <w:r>
        <w:rPr>
          <w:rFonts w:ascii="Calibri" w:hAnsi="Calibri"/>
          <w:b w:val="0"/>
          <w:color w:val="3A4A28"/>
          <w:sz w:val="20"/>
        </w:rPr>
        <w:t>Colgate-Palmolive is a global consumer products company operating through two segments: Oral, Personal and Home Care (toothpaste, soaps, cleaners) and Pet Nutrition (Hill's Science Diet, Hill's Prescription Diet). The company holds the #1 global market share in toothpaste and is a leader in therapeutic pet nutrition, generating TTM revenue of $20.4B with a 9.7% profit margin across operations in 200+ countries. Founded in 1806 and headquartered in New York, CL posted Q2 2026 net sales of $5.36B (+4.9% reported, +2.4% organic), with base business EPS of $0.99 (+8% YoY) [1].</w:t>
      </w:r>
    </w:p>
    <w:p>
      <w:r>
        <w:rPr>
          <w:rFonts w:ascii="Calibri" w:hAnsi="Calibri"/>
          <w:b/>
          <w:color w:val="6E8450"/>
          <w:sz w:val="18"/>
        </w:rPr>
        <w:t>33,600 Employees · https://www.colgatepalmolive.com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Colgate-Palmolive has successfully expanded its portfolio through strategic acquisitions into premium skincare (EltaMD, PCA Skin, Filorga) and premium oral care (hello), diversifying beyond commodity categories into higher-margin segments [1]. The Hill's Pet Nutrition business has been a standout performer, growing consistently as therapeutic pet nutrition gains share. These represent meaningful new revenue streams, though not transformative pivots. AI Deployment (1/2): CEO Noel Wallace completed analytics training himself and publicly shared the experience, signaling top-down commitment. Every non-plant employee received targeted AI training, a Global Head of AI was appointed in 2024, and the company won a DataIQ award for 'Best Place to Work in Data and AI' [2]. However, no specific AI-generated revenue or quantified cost savings were cited. Market Share (2/2): Colgate holds the #1 global market share in toothpaste with approximately 40% share worldwide, and Hill's Pet Nutrition is a category leader in therapeutic veterinary diets [1]. These are dominant positions in large, defensible categories built over decades. Product Pipeline (1/2): The 2030 strategy emphasizes premium innovation, especially revitalizing North America oral care and scaling the premium skincare portfolio (EltaMD, Filorga). Q1 2026 earnings cited 'scaling data, digital, analytics, and AI capabilities,' but specific breakthrough products with named launch dates were not identified [1][2]. R&amp;D Intensity (0/1): CPG companies typically invest 2-3% of revenue in R&amp;D; Colgate is not a top-quartile R&amp;D spender relative to the broader market.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Colgate-Palmolive's purpose — 'Reimagining a Healthier Future for All People, Their Pets and Our Planet' — is specific, thoughtful, and connects the company's brands to a larger purpose that spans human health, animal nutrition, and environmental stewardship [2]. It reflects genuine intentionality and differentiates CL from peers with generic 'growth and value' missions. The 220-year execution history adds credibility, though the purpose has not been tested through existential crisis in the modern era. Community Impact (1/2): The Bright Smiles, Bright Futures program has reached billions of children worldwide with oral health education and free dental screenings, representing one of the largest corporate community health programs globally [2]. This is a distinctive, scaled charitable initiative directly aligned with the company's purpose. Employee Retention (1/2): Fortune profiled Colgate's global talent mobility program in February 2026, describing systematic international rotation to develop leaders, which indicates investment in employee development and organizational depth [2]. CEO Noel Wallace's tenure spanning decades at CL suggests loyalty-driven culture. However, specific voluntary turnover rates or employee satisfaction metrics were not found. Insider Buying (0/2): No evidence of meaningful net insider buying by CEO Wallace or other executives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Colgate's financial profile shows a split between excellent dividend consistency and challenging balance sheet metrics. D/E of 1,388% (score 0.0) reflects the company's deliberately negative equity position from decades of aggressive share buybacks — a common capital structure for blue-chip CPG companies, but mathematically punitive in this framework [1]. ROE of 267.4% (score 1.0) is the inverse of that equity dynamic. Revenue growth YoY of 4.9% (score 0.83) and 5-year CAGR of ~4.0% (score 0.60) reflect steady but unspectacular organic growth. Forward P/E of 23.1 (score 0.92) is reasonable for a defensive compounder, while profit margin of 9.7% (score 0.48) is below the 20% target due to commodity costs and competitive pricing pressure. The dividend profile is a key strength: 63 consecutive years of growth (score 1.0) makes CL a Dividend King, with 131+ years of uninterrupted payments (score 1.0, 2x weight), though the payout ratio of 82.3% (score 0.30) is elevated and the 5-year dividend growth CAGR of 3.3% (score 0.55, 2x weight) barely exceeds inflation [1]. Daily dollar volume of $452M provides excellent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Colgate-Palmolive demonstrates meaningful infinite game characteristics rooted in a 220-year history and a genuine purpose around healthier futures for people, pets, and the planet. The company's 63-year dividend growth streak and commitment to global oral health education through Bright Smiles, Bright Futures show long-term thinking that Sinek would respect. However, the company plays it incrementally safe — executing steady organic growth and bolt-on acquisitions rather than making bold strategic bets that risk short-term earnings. The North America turnaround remains a work in progress, and competitive language focuses on 'winning' share rather than self-improvement.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'Reimagining a Healthier Future for All People, Their Pets and Our Planet' is a genuine and specific purpose that connects Colgate's product lines to something larger than quarterly earnings [2]. The 220-year company history provides evidence that this purpose, in various forms, has guided the organization through multiple eras. The Bright Smiles, Bright Futures program reaching billions of children demonstrates the cause being lived out. However, the purpose has not been dramatically tested by a choice between financial performance and mission adherence — Colgate has the luxury of a cause that aligns naturally with its business model rather than requiring sacrifice.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Noel Wallace has spent his career at Colgate-Palmolive and demonstrates organizational commitment through actions like personally completing AI training and sharing the experience with employees [2]. Fortune's profile of the global talent mobility program describes systematic international rotation to develop leaders, suggesting an organization that invests in its people's growth. The 33,600-employee global workforce operates across 200+ countries, requiring deep organizational trust to execute consistently. However, no specific voluntary turnover data or employee satisfaction metrics were found to confirm above-average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Colgate competes with Procter &amp; Gamble, Unilever, and Church &amp; Dwight in oral and home care, and with Mars (Royal Canin) and Nestle (Purina) in pet nutrition. No evidence was found of management language that frames competition in terms of learning from rivals' strengths or using competitive pressure for self-improvement. The 2030 strategy focuses on 'winning' in key categories, which is finite competitive language by Sinek's definition.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Colgate has expanded from soap (1806) to oral care (dominant since mid-20th century) to pet nutrition (Hill's, growing steadily) to premium skincare (EltaMD, Filorga acquisitions) [1]. Each move extended the portfolio into adjacent health and wellness categories. The Hill's Pet Nutrition expansion from a dental company into a pet nutrition leader represents a meaningful category pivot. However, none of these moves required abandoning a profitable core business — they were additive diversifications rather than transformative reinventions.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Colgate's investment in premium skincare brands (EltaMD, PCA Skin, Filorga) at premium valuations demonstrated willingness to bet on long-term portfolio transformation beyond commodity oral care [1]. The company-wide AI training initiative and appointment of a Global Head of AI in 2024 show proactive investment in capabilities before competitors forced it [2]. However, the North America turnaround — targeted in the 2030 strategy — has been slow, and management continues to prioritize dividend payments (82.3% payout ratio) over aggressive reinvestment, suggesting preference for short-term income over transformative capital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Colgate-Palmolive at $94.54 offers a Dividend King with 63 consecutive years of dividend growth, global #1 market share in toothpaste (~40% worldwide), and a premium pet nutrition business (Hill's) that provides defensive growth and margin expansion potential [1]. Q2 2026 base business EPS grew 8% YoY to $0.99 on 4.9% reported revenue growth ($5.36B), with the 2030 strategy targeting premium innovation and North America revitalization [1]. Operating cash flow of $4.5B and free cash flow of $3.5B comfortably fund the $2.12 annual dividend (2.24% yield) while enabling selective premium acquisitions. The stock's beta of 0.32 makes it one of the most defensive large-cap equities available, and the global distribution network reaching 200+ countries provides secular growth from emerging market urbanization and premiumization.</w:t>
      </w:r>
    </w:p>
    <w:p>
      <w:pPr>
        <w:spacing w:after="120"/>
      </w:pPr>
      <w:r>
        <w:rPr>
          <w:rFonts w:ascii="Calibri" w:hAnsi="Calibri"/>
          <w:b w:val="0"/>
          <w:color w:val="3A4A28"/>
          <w:sz w:val="20"/>
        </w:rPr>
        <w:t>The bear case highlights structural margin pressure and elevated valuation. GAAP EPS has declined in both H1 2026 quarters (-6% Q1, -5% Q2) even as base business EPS grew, indicating one-time charges and restructuring costs that cloud the underlying trend [1]. Profit margin of 9.7% is well below category leaders — P&amp;G operates at 18%+ — and the D/E of 1,388% reflects deliberately negative equity from decades of buybacks that leaves no balance sheet buffer in a downturn. The 82.3% payout ratio is uncomfortably high, constraining both reinvestment and dividend growth (3.3% five-year CAGR barely exceeds inflation), and at 23.1x forward earnings the stock prices in steady execution with minimal margin for error [1]. North America, the company's largest and most profitable market, faces organic growth challenges with only 2.4% organic growth in Q2 2026, and premium skincare acquisitions (Filorga) have been slow to deliver expected synergies [3]. Commodity cost inflation in surfactants, packaging, and logistics remains a persistent margin headwind that pricing alone cannot fully offset.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Hill's Pet Nutrition continues to gain share in the high-growth therapeutic pet food market, with veterinary channel relationships and Prescription Diet brand loyalty providing a recurring revenue stream with premium margins [1]</w:t>
      </w:r>
    </w:p>
    <w:p>
      <w:pPr>
        <w:spacing w:before="40" w:after="40"/>
        <w:ind w:left="283"/>
      </w:pPr>
      <w:r>
        <w:rPr>
          <w:rFonts w:ascii="Calibri" w:hAnsi="Calibri"/>
          <w:b/>
          <w:color w:val="4A6B25"/>
          <w:sz w:val="20"/>
        </w:rPr>
        <w:t xml:space="preserve">2. </w:t>
      </w:r>
      <w:r>
        <w:rPr>
          <w:rFonts w:ascii="Calibri" w:hAnsi="Calibri"/>
          <w:b w:val="0"/>
          <w:color w:val="3A4A28"/>
          <w:sz w:val="20"/>
        </w:rPr>
        <w:t>2030 strategy targeting North America oral care revitalization through premium innovation — success would unlock growth in CL's largest market where Crest (P&amp;G) has been gaining share, with AI and analytics capabilities supporting more targeted marketing [1][2]</w:t>
      </w:r>
    </w:p>
    <w:p>
      <w:pPr>
        <w:spacing w:before="40" w:after="40"/>
        <w:ind w:left="283"/>
      </w:pPr>
      <w:r>
        <w:rPr>
          <w:rFonts w:ascii="Calibri" w:hAnsi="Calibri"/>
          <w:b/>
          <w:color w:val="4A6B25"/>
          <w:sz w:val="20"/>
        </w:rPr>
        <w:t xml:space="preserve">3. </w:t>
      </w:r>
      <w:r>
        <w:rPr>
          <w:rFonts w:ascii="Calibri" w:hAnsi="Calibri"/>
          <w:b w:val="0"/>
          <w:color w:val="3A4A28"/>
          <w:sz w:val="20"/>
        </w:rPr>
        <w:t>Emerging market growth — CL's unmatched distribution in 200+ countries positions it to capture secular growth from urbanization, rising middle class, and premiumization trends in oral care, personal care, and pet nutrition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Elevated payout ratio of 82.3% constrains capital allocation flexibility — limited room for dividend growth acceleration (3.3% five-year CAGR) while leaving minimal buffer if earnings decline, potentially forcing a dividend freeze that would end the 63-year growth streak [1]</w:t>
      </w:r>
    </w:p>
    <w:p>
      <w:pPr>
        <w:spacing w:before="40" w:after="40"/>
        <w:ind w:left="283"/>
      </w:pPr>
      <w:r>
        <w:rPr>
          <w:rFonts w:ascii="Calibri" w:hAnsi="Calibri"/>
          <w:b/>
          <w:color w:val="4A6B25"/>
          <w:sz w:val="20"/>
        </w:rPr>
        <w:t xml:space="preserve">2. </w:t>
      </w:r>
      <w:r>
        <w:rPr>
          <w:rFonts w:ascii="Calibri" w:hAnsi="Calibri"/>
          <w:b w:val="0"/>
          <w:color w:val="3A4A28"/>
          <w:sz w:val="20"/>
        </w:rPr>
        <w:t>GAAP earnings declining even as adjusted figures grow — Q1 and Q2 2026 both showed GAAP EPS declines (-6%, -5%) alongside base business EPS growth (+7%, +8%), raising questions about the sustainability and quality of underlying earnings trends [1]</w:t>
      </w:r>
    </w:p>
    <w:p>
      <w:pPr>
        <w:spacing w:before="40" w:after="40"/>
        <w:ind w:left="283"/>
      </w:pPr>
      <w:r>
        <w:rPr>
          <w:rFonts w:ascii="Calibri" w:hAnsi="Calibri"/>
          <w:b/>
          <w:color w:val="4A6B25"/>
          <w:sz w:val="20"/>
        </w:rPr>
        <w:t xml:space="preserve">3. </w:t>
      </w:r>
      <w:r>
        <w:rPr>
          <w:rFonts w:ascii="Calibri" w:hAnsi="Calibri"/>
          <w:b w:val="0"/>
          <w:color w:val="3A4A28"/>
          <w:sz w:val="20"/>
        </w:rPr>
        <w:t>North America competitive pressure from Procter &amp; Gamble's Crest, premium oral care startups, and private-label expansion threatens the core toothpaste franchise in CL's most profitable market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Colgate-Palmolive's core business — manufacturing and distributing toothpaste, soap, cleaners, and pet food globally — is structurally immune to AI displacement [1]. These are essential physical consumable products with daily replenishment cycles that no AI technology can substitute. The global oral care market and pet nutrition market are driven by population growth, urbanization, and premiumization trends that are independent of AI advancement. Colgate's moat is built on brand trust developed over 220 years, global distribution reaching 200+ countries, and deep relationships with dental professionals and veterinarians that AI cannot replicate. The minor vulnerability is that AI-enhanced marketing tools could lower barriers for private-label competitors or enable more targeted competitive pricing. AI Opportunity (0/1): Colgate's AI investments are focused on internal efficiency — analytics, digital capabilities, and data-driven marketing — rather than generating direct AI revenue. The Global Head of AI role (appointed 2024) and company-wide AI training are defensive positioning, not revenue creation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Colgate-Palmolive Q2 2026 Earnings Release — Net Sales $5.36B (+4.9%), Organic Growth +2.4%, Base Business EPS $0.99 (+8%), SEC 8-K Filing and Barchart, July 2026</w:t>
      </w:r>
    </w:p>
    <w:p>
      <w:pPr>
        <w:spacing w:before="20" w:after="20"/>
        <w:ind w:left="170"/>
      </w:pPr>
      <w:r>
        <w:rPr>
          <w:rFonts w:ascii="Calibri" w:hAnsi="Calibri"/>
          <w:b/>
          <w:color w:val="4A6B25"/>
          <w:sz w:val="15"/>
        </w:rPr>
        <w:t xml:space="preserve">2. </w:t>
      </w:r>
      <w:r>
        <w:rPr>
          <w:rFonts w:ascii="Calibri" w:hAnsi="Calibri"/>
          <w:b w:val="0"/>
          <w:color w:val="3A4A28"/>
          <w:sz w:val="17"/>
        </w:rPr>
        <w:t>Colgate-Palmolive Leadership, AI Strategy, and Culture — CEO Wallace AI training initiative, Global Head of AI appointed 2024, DataIQ award, Fortune talent mobility profile, 2024-2026</w:t>
      </w:r>
    </w:p>
    <w:p>
      <w:pPr>
        <w:spacing w:before="20" w:after="20"/>
        <w:ind w:left="170"/>
      </w:pPr>
      <w:r>
        <w:rPr>
          <w:rFonts w:ascii="Calibri" w:hAnsi="Calibri"/>
          <w:b/>
          <w:color w:val="4A6B25"/>
          <w:sz w:val="15"/>
        </w:rPr>
        <w:t xml:space="preserve">3. </w:t>
      </w:r>
      <w:r>
        <w:rPr>
          <w:rFonts w:ascii="Calibri" w:hAnsi="Calibri"/>
          <w:b w:val="0"/>
          <w:color w:val="3A4A28"/>
          <w:sz w:val="17"/>
        </w:rPr>
        <w:t>Colgate-Palmolive ESG — Sustainalytics controversy level 2.0 (Moderate), ESG Risk Rating 26.2, withdrawn shareholder proposal on plastics, 2030 Sustainability Strategy, 2022-2026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