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CMBT</w:t>
      </w:r>
      <w:r>
        <w:rPr>
          <w:rFonts w:ascii="Calibri" w:hAnsi="Calibri"/>
          <w:b/>
          <w:color w:val="1A2010"/>
          <w:sz w:val="40"/>
        </w:rPr>
        <w:t xml:space="preserve">  CMB.Tech NV</w:t>
      </w:r>
    </w:p>
    <w:p>
      <w:pPr>
        <w:spacing w:after="120"/>
      </w:pPr>
      <w:r>
        <w:rPr>
          <w:rFonts w:ascii="Calibri" w:hAnsi="Calibri"/>
          <w:b/>
          <w:color w:val="6E8450"/>
          <w:sz w:val="18"/>
        </w:rPr>
        <w:t>DIVIDEND SLEEVE · 2026-09-10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Marine Shipping · NYSE · Belgium</w:t>
      </w:r>
    </w:p>
    <w:p>
      <w:pPr>
        <w:spacing w:after="80"/>
      </w:pPr>
      <w:r>
        <w:rPr>
          <w:rFonts w:ascii="Calibri" w:hAnsi="Calibri"/>
          <w:b w:val="0"/>
          <w:color w:val="3A4A28"/>
          <w:sz w:val="20"/>
        </w:rPr>
        <w:t>CMB.TECH NV (formerly Euronav NV, renamed October 2024) is a diversified maritime and clean energy company headquartered in Antwerp, Belgium. The company owns and operates approximately 250 seagoing vessels including crude oil tankers, dry bulk carriers, container ships, chemical tankers, and offshore energy vessels, making it one of the world's largest independent maritime groups. CMB.TECH is a pioneer in shipping decarbonization through its H2 Infra and H2 Industry divisions, with hydrogen and ammonia-powered vessels either in operation or on order. The company reported Q2 2026 revenue of $703.9M with net income of $364.4M (51.8% margin) and Q1 2026 profit of $368.8M, driven by strong crude tanker and dry bulk markets.</w:t>
      </w:r>
    </w:p>
    <w:p>
      <w:r>
        <w:rPr>
          <w:rFonts w:ascii="Calibri" w:hAnsi="Calibri"/>
          <w:b/>
          <w:color w:val="6E8450"/>
          <w:sz w:val="18"/>
        </w:rPr>
        <w:t>4,000 Employees · https://cmb.tech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CMB.TECH successfully completed the transformative merger of Euronav's tanker assets and CMB NV's dry bulk and clean energy businesses in late 2023, creating one of the world's largest independent maritime groups with approximately 250 vessels [1][2]. The integration delivered TTM revenue of $1.95B, up 108.65% YoY on a combined basis. CMB.TECH's hydrogen-powered vessels are already in operation, making it the first major shipping company to operate commercial vessels on hydrogen — a genuine industry first. AI Deployment (0/2): No evidence of AI deployment in fleet management, route optimization, predictive maintenance, or commercial operations was identified. The maritime shipping industry generally lags in AI adoption compared to other industrial sectors. Market Share (2/2): CMB.TECH operates approximately 250 vessels across crude oil tankers, dry bulk carriers, container ships, and chemical tankers, placing it among the largest independent maritime groups globally [1]. The diversified fleet provides exposure to multiple shipping market segments, reducing cyclical concentration risk. Pipeline (1/2): Eleven ammonia-powered vessels are on order for delivery between summer 2026 and March 2027, representing a meaningful investment in next-generation propulsion technology [3]. Green ammonia supply agreements with Chinese producers (CEEC Hydrogen Energy, Jiangsu Andefu) secure fuel supply. However, ammonia propulsion remains commercially unproven at scale. R&amp;D Intensity (1/1): Significant capital investment in hydrogen and ammonia propulsion technology, green ammonia infrastructure, and the H2 Industry division demonstrates genuine R&amp;D commitment for a shipping company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CMB.TECH's purpose as 'a diversified and future-proof maritime group' with a stated mission to decarbonize shipping through hydrogen and ammonia technology connects the company's work to the broader challenge of climate change [3]. The willingness to invest billions in unproven ammonia propulsion goes beyond greenwashing — it represents genuine conviction about the company's role in maritime decarbonization. However, the majority of revenue still derives from traditional fossil fuel transport, creating tension between the stated purpose and the current business model. Community Impact (1/2): CMB.TECH's green ammonia investments contribute to environmental sustainability, and the company's Green Financing Framework supports sustainable infrastructure [3]. However, no specific community engagement programs, charitable investments, or social impact initiatives beyond the core decarbonization strategy were identified. Employee Retention (0/2): No specific employee engagement data, retention metrics, or organizational culture initiatives were identified for CMB.TECH. Maritime shipping companies generally face challenges with crew retention and shore-based talent competition. Insider Buying (1/2): The Saverys family maintains a controlling ownership stake through CMB NV, demonstrating significant financial alignment between management and shareholders. CEO Alexander Saverys' personal and family investment in the combined entity represents substantial insider commitment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sleeve metrics. CMB.TECH demonstrates strong cyclical profitability with ROE of 22.29% scoring 1.0 and profit margin of 24.9% scoring 1.0 [4]. Revenue growth YoY of 108.65% scores 1.0, though this is heavily influenced by the 2023 merger creating the combined entity and strong shipping markets rather than purely organic growth [1]. Forward P/E of approximately 6.0x is deeply discounted (score 1.0), reflecting the market's appropriate discount for cyclical shipping earnings that are likely near peak. The main drag on the base metrics is D/E of 191% (score 0.47), reflecting the capital-intensive nature of operating 250 vessels [4]. The 5-year revenue CAGR is not meaningful given the company's formation through the 2023 merger (score 0). On dividend metrics: payout ratio of approximately 32% is conservatively low (score 1.0), and dividend payments span 15+ years through the Euronav predecessor (score 1.0, 2x weight). However, shipping dividend growth is inherently variable — consecutive years of dividend growth is approximately 3 years as CMB.TECH (score 0.30), and the 5-year dividend growth CAGR is not reliably calculable for the combined entity (score 0, 2x weight). Daily dollar volume of approximately $27M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CMB.TECH is one of the more compelling infinite game players in the maritime industry — the company's commitment to shipping decarbonization through hydrogen and ammonia technology goes beyond financial calculation into genuine cause-driven strategy. The transformative merger of Euronav and CMB created a diversified platform for long-term value creation. However, the company remains primarily a fossil fuel transporter by revenue, and the trust and rival dimensions of the infinite game are underdeveloped.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Decarbonizing shipping through hydrogen and ammonia technology is a genuine cause bigger than the company — global shipping produces approximately 3% of global CO2 emissions, and CMB.TECH's investment in ammonia-powered vessels, green ammonia supply chains, and hydrogen infrastructure represents a concrete effort to address this challenge [3]. The cause has shaped capital allocation decisions (billions invested in ammonia vessels and infrastructure) and corporate identity (rebranding from Euronav to CMB.TECH). However, the vast majority of current revenue still derives from transporting crude oil and fossil fuels, creating inherent tension between the stated cause and the economic engine.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specific evidence of organizational trust culture was identified for CMB.TECH. The maritime shipping industry typically operates with hierarchical command structures aboard vessels and shore-based management separated from seagoing crews. The recent merger integration (Euronav + CMB) inherently creates cultural integration challenges. No employee engagement scores, retention data, or specific cultural initiatives were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CMB.TECH competes against major maritime groups including AP Moller-Maersk, Frontline, and International Seaways in tankers, and Star Bulk and Golden Ocean in dry bulk. However, no evidence suggests the company frames any competitor as a worthy rival in the Sinek sense — learning from their strengths to improve its own capabilities rather than simply competing for market share and charter rates.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CMB.TECH represents one of the most dramatic examples of existential flexibility in the maritime industry. The company transformed from Euronav — a pure-play crude oil tanker company — into a diversified maritime and clean energy group through the merger with CMB NV and subsequent rebranding [2][3]. The new entity spans crude tankers, dry bulk, containers, chemicals, and a growing hydrogen/ammonia infrastructure business. The 11 ammonia-powered vessels on order represent a further transformation toward a fundamentally different propulsion technology. This is not incremental evolution but a genuine reinvention of what the company is and could become.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CMB.TECH's investment in ammonia-powered vessels and green ammonia supply chains represents a genuinely courageous bet on unproven technology at industrial scale [3]. The 11 ammonia vessels on order, the green ammonia off-take agreement with CEEC Hydrogen Energy, and the equity stake in Jiangsu Andefu Energy Technology demonstrate willingness to commit real capital to a vision that most competitors consider premature. However, the company is also hedging — the vast majority of the 250-vessel fleet runs on conventional fuel, and the strong traditional shipping markets fund the green transition. This is calculated courage rather than the all-in commitment that characterizes the highest level.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CMB.TECH at 6.5x trailing earnings and 4.10% dividend yield offers deep cyclical value in one of the world's largest independent maritime groups, with 250 vessels across crude tankers, dry bulk, containers, and chemicals. H1 2026 net income of $733M ($368.8M Q1 + $364.4M Q2) demonstrates the cash generation power during strong shipping markets, and the 32% payout ratio leaves substantial retained earnings for fleet renewal and decarbonization investment [1][2]. The hydrogen and ammonia strategy (11 ammonia-powered vessels arriving 2026-2027, green ammonia supply agreements) positions CMB.TECH uniquely among peers for the eventual regulatory transition to zero-emissions shipping [3]. The Saverys family's controlling ownership stake aligns management and shareholder interests.</w:t>
      </w:r>
    </w:p>
    <w:p>
      <w:pPr>
        <w:spacing w:after="120"/>
      </w:pPr>
      <w:r>
        <w:rPr>
          <w:rFonts w:ascii="Calibri" w:hAnsi="Calibri"/>
          <w:b w:val="0"/>
          <w:color w:val="3A4A28"/>
          <w:sz w:val="20"/>
        </w:rPr>
        <w:t>The bear case is shipping cyclicality and decarbonization execution risk. Shipping earnings are inherently volatile and current tanker and dry bulk rates are likely near cyclical peaks — the forward P/E of 6.0x reflects the market's expectation of earnings normalization, and consensus revenue estimates for full-year 2026 of $1.81B imply a meaningfully weaker H2 [4]. D/E of 191% creates leverage amplification in both directions. The ammonia propulsion technology is commercially unproven at scale, and the investment in green ammonia supply chains (China-sourced) carries geopolitical and execution risk. The 5-year revenue CAGR and dividend growth CAGR are not meaningfully calculable given the 2023 merger, making trend analysis impossible. As a Belgian-listed company with NYSE ADRs, CMB.TECH faces currency risk and potentially lower U.S. investor familiarity. The Inspire Impact Score of 0 (MIXED) with no attributions in either direction reflects limited ESG data coverage, which may give some faith-based investors pause.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Delivery of 11 ammonia-powered vessels between summer 2026 and March 2027, providing first-mover commercial proof of concept for zero-emissions maritime propulsion technology [3]</w:t>
      </w:r>
    </w:p>
    <w:p>
      <w:pPr>
        <w:spacing w:before="40" w:after="40"/>
        <w:ind w:left="283"/>
      </w:pPr>
      <w:r>
        <w:rPr>
          <w:rFonts w:ascii="Calibri" w:hAnsi="Calibri"/>
          <w:b/>
          <w:color w:val="4A6B25"/>
          <w:sz w:val="20"/>
        </w:rPr>
        <w:t xml:space="preserve">2. </w:t>
      </w:r>
      <w:r>
        <w:rPr>
          <w:rFonts w:ascii="Calibri" w:hAnsi="Calibri"/>
          <w:b w:val="0"/>
          <w:color w:val="3A4A28"/>
          <w:sz w:val="20"/>
        </w:rPr>
        <w:t>Strong H1 2026 earnings ($733M combined profit) funding both the 4.10% dividend yield and significant reinvestment in fleet modernization and decarbonization infrastructure [1][2]</w:t>
      </w:r>
    </w:p>
    <w:p>
      <w:pPr>
        <w:spacing w:before="40" w:after="40"/>
        <w:ind w:left="283"/>
      </w:pPr>
      <w:r>
        <w:rPr>
          <w:rFonts w:ascii="Calibri" w:hAnsi="Calibri"/>
          <w:b/>
          <w:color w:val="4A6B25"/>
          <w:sz w:val="20"/>
        </w:rPr>
        <w:t xml:space="preserve">3. </w:t>
      </w:r>
      <w:r>
        <w:rPr>
          <w:rFonts w:ascii="Calibri" w:hAnsi="Calibri"/>
          <w:b w:val="0"/>
          <w:color w:val="3A4A28"/>
          <w:sz w:val="20"/>
        </w:rPr>
        <w:t>Green ammonia supply chain development with CEEC Hydrogen Energy (158,000 tonnes annually) and Jiangsu Andefu equity stake, creating a vertically integrated clean fuel ecosystem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Shipping market cyclicality — tanker and dry bulk rates are likely near cyclical peaks, and a downturn could rapidly compress the 24.9% profit margin and 22.29% ROE that drive the current earnings base [4]</w:t>
      </w:r>
    </w:p>
    <w:p>
      <w:pPr>
        <w:spacing w:before="40" w:after="40"/>
        <w:ind w:left="283"/>
      </w:pPr>
      <w:r>
        <w:rPr>
          <w:rFonts w:ascii="Calibri" w:hAnsi="Calibri"/>
          <w:b/>
          <w:color w:val="4A6B25"/>
          <w:sz w:val="20"/>
        </w:rPr>
        <w:t xml:space="preserve">2. </w:t>
      </w:r>
      <w:r>
        <w:rPr>
          <w:rFonts w:ascii="Calibri" w:hAnsi="Calibri"/>
          <w:b w:val="0"/>
          <w:color w:val="3A4A28"/>
          <w:sz w:val="20"/>
        </w:rPr>
        <w:t>Ammonia propulsion technology and supply chain execution risk — the technology is unproven at commercial scale, and China-sourced green ammonia supply carries geopolitical risk [3]</w:t>
      </w:r>
    </w:p>
    <w:p>
      <w:pPr>
        <w:spacing w:before="40" w:after="40"/>
        <w:ind w:left="283"/>
      </w:pPr>
      <w:r>
        <w:rPr>
          <w:rFonts w:ascii="Calibri" w:hAnsi="Calibri"/>
          <w:b/>
          <w:color w:val="4A6B25"/>
          <w:sz w:val="20"/>
        </w:rPr>
        <w:t xml:space="preserve">3. </w:t>
      </w:r>
      <w:r>
        <w:rPr>
          <w:rFonts w:ascii="Calibri" w:hAnsi="Calibri"/>
          <w:b w:val="0"/>
          <w:color w:val="3A4A28"/>
          <w:sz w:val="20"/>
        </w:rPr>
        <w:t>Leverage amplification with D/E of 191% in a capital-intensive industry — during a shipping downturn, high debt service costs could strain cash flow and threaten the dividend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Maritime shipping is a fundamentally physical business that cannot be replaced by AI — vessels, ports, fuel infrastructure, and global logistics networks are hard assets protected by enormous capital requirements and regulatory barriers [1]. The cyclical commodity nature of tanker and bulk shipping creates natural barriers to digital disruption. However, AI could significantly impact the industry in several ways: (1) AI-driven route optimization and fleet management could benefit tech-forward competitors at the expense of less digitized operators, (2) autonomous vessel technology, while distant, represents a long-term disruption risk, (3) AI-powered commodity trading and freight rate prediction could compress margins for less sophisticated operators, and (4) AI could accelerate the timeline for alternative fuel adoption, potentially disadvantaging companies that invest in the wrong decarbonization pathway (e.g., ammonia vs. methanol vs. electric). AI Opportunity (1/1): AI can meaningfully improve fleet management efficiency through predictive maintenance (reducing vessel downtime), optimal route planning (reducing fuel consumption), dynamic pricing of charter rates, and compliance monitoring. CMB.TECH's large fleet of 250 vessels creates substantial data advantages if AI tools are deployed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CMB.TECH Q2 2026 Results — Revenue $703.9M, net income $364.4M (51.8% margin), distribution $0.64/share, StockTitan/PRNewswire,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CMB.TECH Q1 2026 Results — Revenue $519.6M (+121% YoY), net income $368.8M, EPS $1.27, StockTitan, May 2026</w:t>
      </w:r>
    </w:p>
    <w:p>
      <w:pPr>
        <w:spacing w:before="20" w:after="20"/>
        <w:ind w:left="170"/>
      </w:pPr>
      <w:r>
        <w:rPr>
          <w:rFonts w:ascii="Calibri" w:hAnsi="Calibri"/>
          <w:b/>
          <w:color w:val="4A6B25"/>
          <w:sz w:val="15"/>
        </w:rPr>
        <w:t xml:space="preserve">3. </w:t>
      </w:r>
      <w:r>
        <w:rPr>
          <w:rFonts w:ascii="Calibri" w:hAnsi="Calibri"/>
          <w:b w:val="0"/>
          <w:color w:val="3A4A28"/>
          <w:sz w:val="17"/>
        </w:rPr>
        <w:t>CMB.TECH Ammonia Strategy — 11 ammonia vessels arriving 2026-2027, green ammonia from CEEC Hydrogen Energy (158,000 tonnes/yr), Jiangsu Andefu equity stake, Baird Maritime/H2 View,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Simply Wall St, CompaniesMarketCap — CMBT key statistics: PE 6.52, D/E 191%, ROE 22.29%, Profit Margin 24.9%, Market Cap $5.3B,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