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CMCO</w:t>
      </w:r>
      <w:r>
        <w:rPr>
          <w:rFonts w:ascii="Calibri" w:hAnsi="Calibri"/>
          <w:b/>
          <w:color w:val="1A2010"/>
          <w:sz w:val="40"/>
        </w:rPr>
        <w:t xml:space="preserve">  Columbus McKinnon Corporation</w:t>
      </w:r>
    </w:p>
    <w:p>
      <w:pPr>
        <w:spacing w:after="120"/>
      </w:pPr>
      <w:r>
        <w:rPr>
          <w:rFonts w:ascii="Calibri" w:hAnsi="Calibri"/>
          <w:b/>
          <w:color w:val="6E8450"/>
          <w:sz w:val="18"/>
        </w:rPr>
        <w:t>GROWTH SLEEVE · 2026-10-12 · Inspire: 59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Farm &amp; Heavy Construction Machinery · NASDAQ · United States</w:t>
      </w:r>
    </w:p>
    <w:p>
      <w:pPr>
        <w:spacing w:after="80"/>
      </w:pPr>
      <w:r>
        <w:rPr>
          <w:rFonts w:ascii="Calibri" w:hAnsi="Calibri"/>
          <w:b w:val="0"/>
          <w:color w:val="3A4A28"/>
          <w:sz w:val="20"/>
        </w:rPr>
        <w:t>Columbus McKinnon is a global leader in intelligent motion solutions — hoists, chain products, rigging tools, crane components, and precision conveyor systems — serving industrial end markets worldwide. The transformative Kito Crosby acquisition (completed mid-FY2026) more than doubled the company's scale, driving FY2026 (ended March 2026) net sales to $1,193.5M (+24% YoY) from $963.0M. Legacy CMCO grew organically 7%, and the combined entity grew 6% on a pro forma basis. Order growth of 20% in FY2026 reflected strong demand. However, the integration drove near-term losses: GAAP profit margin of -21.2% and ROE of -27.7% reflect acquisition-related charges, amortization, and debt costs. CEO David Wilson leads from Charlotte, North Carolina, with the stated purpose of 'intelligent motion solutions that move the world forward and improve lives.'</w:t>
      </w:r>
    </w:p>
    <w:p>
      <w:r>
        <w:rPr>
          <w:rFonts w:ascii="Calibri" w:hAnsi="Calibri"/>
          <w:b/>
          <w:color w:val="6E8450"/>
          <w:sz w:val="18"/>
        </w:rPr>
        <w:t>https://www.cmco.com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Kito Crosby acquisition was a transformative deal that created a global intelligent motion solutions platform, more than doubling revenue from $963M to $1,194M and delivering 20% order growth in FY2026 [1]. This is a significant business model transformation from a mid-sized North American hoist manufacturer to a global intelligent motion leader. Legacy organic growth of 7% demonstrates that the base business is also expanding independently of M&amp;A [1]. AI Deployment (1/2): CEO David Wilson described CMCO as 'at the forefront' of the automation and digitization megatrends, developing 'advanced intelligent motion solutions' that incorporate smart controls and automation features [3]. While specific AI-driven revenue or cost savings have not been quantified, the company's product roadmap is explicitly oriented toward intelligent, connected material handling equipment. Market Share (1/2): With the Kito Crosby combination, CMCO became one of the world's largest intelligent motion solutions providers, with global presence across hoisting, rigging, and motion control. The combined entity has meaningful market share in industrial material handling, though the company is not the sole category leader [1]. Product Pipeline (0/2): No specific next-generation products announced with timelines. Innovation is embedded in the platform expansion (intelligent controls, automation features) rather than discrete product launches. R&amp;D Intensity (0/1): No evidence of above-peer R&amp;D spending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'Purpose in Motion' — CMCO's stated mission of delivering 'intelligent motion solutions that move the world forward and improve lives' is specific and thoughtful [3]. It connects industrial material handling to a larger purpose of human progress and distinguishes CMCO from generic industrial equipment manufacturers. The mission was clearly articulated before the Kito Crosby acquisition and the deal can be traced back to advancing this purpose at global scale. CEO David Wilson's engineering background and 'passion for progress' reinforce the intentionality behind the mission. Community Impact (0/2): The company publishes a Corporate Sustainability Report and has board-level ESG oversight with three defined pillars (Process and Governance, People and Social Impact, Planet and Environmental Stewardship), but no specific charitable programs or community investment dollar amounts were identified [4]. Employee Retention (0/2): No Glassdoor reviews or employee retention data surfaced for Columbus McKinnon. The integration of Kito Crosby's workforce presents cultural challenges typical of transformative acquisitions. Insider Buying (0/2): No evidence of meaningful net insider buying by CEO David Wilson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Growth stock scored on available metrics. D/E of 181.0% scores 0.52 (1x weight) — elevated leverage from Kito Crosby acquisition debt, though below the 300% floor [1]. ROE of -27.7% scores 0.0 (2x weight) — negative due to acquisition-related charges, amortization, and integration costs that depress GAAP profitability [1]. Revenue Growth YoY of 125.3% scores 1.0 (1x weight) — driven primarily by the Kito Crosby acquisition ($188M revenue contribution), with 7% organic growth [1]. Forward P/E of 6.05 scores 1.0 (1x weight) — extremely cheap forward valuation reflecting analyst expectations for significant earnings recovery as acquisition costs normalize. Profit Margin of -21.2% scores 0.0 (1x weight) — negative GAAP margin from integration charges. Revenue Growth 5yr CAGR and Forward PEG unavailable, excluded. Weighted sum 2.52 / max 6.0 = 4.19, rounded to 4. Daily dollar volume of $8.6M provides adequate institutional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Columbus McKinnon shows notable elements of infinite thinking but the assessment is limited by data gaps. The 'Purpose in Motion' mission is among the more articulated industrial company purposes encountered in screening, and the Kito Crosby acquisition represents a bold, transformative bet that accepted near-term pain (D/E 181%, GAAP losses) to build long-term global scale [1][3]. CEO David Wilson's engineering-driven leadership and stated 'passion for progress' suggest genuine intentionality beyond quarterly optimization. However, the company lacks public data on employee culture, no worthy rival mindset is evident, and the recency of the Kito Crosby integration means the infinite game thesis is unproven — the true test is whether the combined platform endures and thrives through the integration period. Sinek would credit the purpose and courage but reserve judgment until the transformation is validated over multiple years.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'Purpose in Motion' — intelligent motion solutions that move the world forward and improve lives — is a genuine, articulated purpose that connects industrial equipment manufacturing to human progress [3]. The Kito Crosby acquisition can be traced back to advancing this mission at global scale, and CEO David Wilson references it in strategic communications. The mission differentiates CMCO from generic industrial peers and reflects genuine intentionality. However, it has not been tested through decades of consistent execution across leadership transitions and crises — the company is still early in validating this purpose through the post-acquisition integration.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Glassdoor reviews, employee satisfaction data, or retention metrics surfaced for Columbus McKinnon. The Kito Crosby integration brings together two large industrial workforces from different corporate cultures, which typically creates organizational stress and trust challenges. Without evidence of how the integration is being managed from a people perspective, this dimension cannot be scored above the floor.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The company's strategic language focuses on building a global platform through acquisition rather than learning from competitors' strengths. Material handling competitors include Konecranes and Terex, but no public statements from CMCO leadership reference these as worthy rivals or sources of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Kito Crosby acquisition fundamentally expanded CMCO's scale (revenue more than doubled to $1.19B), geographic reach (global vs. primarily North American), and product breadth [1]. This represents meaningful strategic evolution, though the company remains in the same core industry (material handling and motion solutions). The deal required taking on significant debt (D/E 181%) and accepting near-term losses, showing willingness to sacrifice current profitability for long-term platform positioning. Incremental rather than fully transformative, as the pivot stayed within the existing industry rather than entering entirely new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Kito Crosby acquisition was a bold, bet-the-company move that more than doubled revenue, pushed D/E to 181%, and produced near-term GAAP losses [1]. Management accepted significant short-term financial pain — negative ROE, negative profit margins, elevated interest costs — to build a global intelligent motion platform. This aligns with Sinek's framework of investing in long-term capability at the expense of current earnings. CEO David Wilson's stated focus on 'automation and digitization megatrends' rather than quarterly optimization further supports the courageous leadership assessment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Columbus McKinnon at $15.99 with a $462M market cap is a post-transformation industrials play trading at 6.1x forward earnings — a deeply discounted valuation reflecting near-term GAAP losses from the Kito Crosby integration while analysts project significant earnings normalization ahead [1][2]. FY2026 net sales hit $1,193.5M (+24% YoY) with 20% order growth, 7% organic revenue growth, and 6% pro forma combined growth, demonstrating that both legacy CMCO and the acquired Kito Crosby businesses are generating healthy demand. The 'Purpose in Motion' mission and intelligent motion solutions positioning align the company with secular automation tailwinds — as factories and warehouses automate, demand for sophisticated hoisting, rigging, and motion control equipment grows. The AI resilience profile is strong: physical industrial equipment with safety certifications cannot be replaced by software.</w:t>
      </w:r>
    </w:p>
    <w:p>
      <w:pPr>
        <w:spacing w:after="120"/>
      </w:pPr>
      <w:r>
        <w:rPr>
          <w:rFonts w:ascii="Calibri" w:hAnsi="Calibri"/>
          <w:b w:val="0"/>
          <w:color w:val="3A4A28"/>
          <w:sz w:val="20"/>
        </w:rPr>
        <w:t>The WATCH recommendation reflects the near-term risk profile of a post-acquisition integration. D/E of 181% and GAAP profit margin of -21.2% demonstrate the balance sheet and earnings stress from the Kito Crosby deal [1]. While the forward P/E of 6.05 prices in recovery, execution risk remains: the company must successfully integrate two global workforces, realize acquisition synergies, and deleverage while maintaining organic growth. EMEA demand is 'more challenged' due to geopolitical conditions, introducing geographic risk for a newly global platform [2]. The missing 5yr revenue CAGR and Forward PEG metrics (4/10 weight units excluded) and the acquisition-distorted profitability metrics make the current Infrastructure score of 4 somewhat uncertain. An upgrade to HOLD would require demonstrated margin expansion toward pre-deal levels, evidence of synergy realization, and meaningful debt paydown confirming the integration thesis is on track.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6.05 implies analyst consensus expects dramatic earnings recovery as Kito Crosby acquisition costs normalize — successful integration and synergy realization could drive significant multiple re-rating from the current depressed valuation [1]</w:t>
      </w:r>
    </w:p>
    <w:p>
      <w:pPr>
        <w:spacing w:before="40" w:after="40"/>
        <w:ind w:left="283"/>
      </w:pPr>
      <w:r>
        <w:rPr>
          <w:rFonts w:ascii="Calibri" w:hAnsi="Calibri"/>
          <w:b/>
          <w:color w:val="4A6B25"/>
          <w:sz w:val="20"/>
        </w:rPr>
        <w:t xml:space="preserve">2. </w:t>
      </w:r>
      <w:r>
        <w:rPr>
          <w:rFonts w:ascii="Calibri" w:hAnsi="Calibri"/>
          <w:b w:val="0"/>
          <w:color w:val="3A4A28"/>
          <w:sz w:val="20"/>
        </w:rPr>
        <w:t>FY2026 order growth of 20% and Q3 orders up 11% demonstrate strong underlying demand — as the acquisition integration matures, order-to-revenue conversion should drive both top-line growth and margin expansion [2]</w:t>
      </w:r>
    </w:p>
    <w:p>
      <w:pPr>
        <w:spacing w:before="40" w:after="40"/>
        <w:ind w:left="283"/>
      </w:pPr>
      <w:r>
        <w:rPr>
          <w:rFonts w:ascii="Calibri" w:hAnsi="Calibri"/>
          <w:b/>
          <w:color w:val="4A6B25"/>
          <w:sz w:val="20"/>
        </w:rPr>
        <w:t xml:space="preserve">3. </w:t>
      </w:r>
      <w:r>
        <w:rPr>
          <w:rFonts w:ascii="Calibri" w:hAnsi="Calibri"/>
          <w:b w:val="0"/>
          <w:color w:val="3A4A28"/>
          <w:sz w:val="20"/>
        </w:rPr>
        <w:t>Secular automation and digitization trends create structural demand tailwinds for intelligent motion solutions — CMCO's product roadmap targeting smart, connected material handling equipment positions the company to capture share as industrial automation spending accelerates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181% and GAAP profit margin of -21.2% reflect significant post-acquisition balance sheet stress — any integration delay, synergy shortfall, or demand softening could prolong the deleveraging timeline and pressure the stock further [1]</w:t>
      </w:r>
    </w:p>
    <w:p>
      <w:pPr>
        <w:spacing w:before="40" w:after="40"/>
        <w:ind w:left="283"/>
      </w:pPr>
      <w:r>
        <w:rPr>
          <w:rFonts w:ascii="Calibri" w:hAnsi="Calibri"/>
          <w:b/>
          <w:color w:val="4A6B25"/>
          <w:sz w:val="20"/>
        </w:rPr>
        <w:t xml:space="preserve">2. </w:t>
      </w:r>
      <w:r>
        <w:rPr>
          <w:rFonts w:ascii="Calibri" w:hAnsi="Calibri"/>
          <w:b w:val="0"/>
          <w:color w:val="3A4A28"/>
          <w:sz w:val="20"/>
        </w:rPr>
        <w:t>EMEA demand 'more challenged' due to geopolitical conditions and slower project order conversion — as a newly global platform, CMCO has geographic exposure it didn't carry before the Kito Crosby deal [2]</w:t>
      </w:r>
    </w:p>
    <w:p>
      <w:pPr>
        <w:spacing w:before="40" w:after="40"/>
        <w:ind w:left="283"/>
      </w:pPr>
      <w:r>
        <w:rPr>
          <w:rFonts w:ascii="Calibri" w:hAnsi="Calibri"/>
          <w:b/>
          <w:color w:val="4A6B25"/>
          <w:sz w:val="20"/>
        </w:rPr>
        <w:t xml:space="preserve">3. </w:t>
      </w:r>
      <w:r>
        <w:rPr>
          <w:rFonts w:ascii="Calibri" w:hAnsi="Calibri"/>
          <w:b w:val="0"/>
          <w:color w:val="3A4A28"/>
          <w:sz w:val="20"/>
        </w:rPr>
        <w:t>Negative ROE (-27.7%) and negative GAAP profitability mean the company is currently destroying book value — while acquisition accounting distorts these metrics, prolonged losses could erode the balance sheet and limit financial flexibility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Columbus McKinnon manufactures physical industrial equipment — hoists, chain products, rigging tools, crane components, and conveyor systems — that perform physical work in factories, warehouses, ports, and construction sites [1][3]. AI cannot replicate the mechanical forces needed to lift, move, and position heavy industrial loads. The products are governed by stringent safety regulations (OSHA, ASME, EN standards) that require physical compliance testing and certification, providing additional structural barriers to AI substitution. Importantly, AI and automation trends are net positive for CMCO: as industrial facilities automate, they need more sophisticated, intelligent motion equipment — CMCO's core product direction. AI Opportunity (0/1): While the company positions products around 'intelligent motion solutions' addressing 'megatrends of automation and digitization,' no specific AI-related revenue has been quantified [3]. The intelligent controls and automation features are product attributes rather than a distinct AI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Columbus McKinnon FY2026 Full Year — Net Sales $1,193.5M (+24% YoY), Order Growth 20%, Organic Growth 7%, Pro Forma Growth 6%, Kito Crosby $188M Revenue Contribution, FY2027 Guidance Issued — SEC 8-K Filing, NASDAQ Earnings Call Highlights, 2026</w:t>
      </w:r>
    </w:p>
    <w:p>
      <w:pPr>
        <w:spacing w:before="20" w:after="20"/>
        <w:ind w:left="170"/>
      </w:pPr>
      <w:r>
        <w:rPr>
          <w:rFonts w:ascii="Calibri" w:hAnsi="Calibri"/>
          <w:b/>
          <w:color w:val="4A6B25"/>
          <w:sz w:val="15"/>
        </w:rPr>
        <w:t xml:space="preserve">2. </w:t>
      </w:r>
      <w:r>
        <w:rPr>
          <w:rFonts w:ascii="Calibri" w:hAnsi="Calibri"/>
          <w:b w:val="0"/>
          <w:color w:val="3A4A28"/>
          <w:sz w:val="17"/>
        </w:rPr>
        <w:t>Columbus McKinnon Q3-Q4 FY2026 — Q3 Sales $258.7M (+10%), Orders +11%, Q4 Sales $438M (+77%), EMEA Demand More Challenged — SEC 8-K Filing, Fintool, TipRanks, 2026</w:t>
      </w:r>
    </w:p>
    <w:p>
      <w:pPr>
        <w:spacing w:before="20" w:after="20"/>
        <w:ind w:left="170"/>
      </w:pPr>
      <w:r>
        <w:rPr>
          <w:rFonts w:ascii="Calibri" w:hAnsi="Calibri"/>
          <w:b/>
          <w:color w:val="4A6B25"/>
          <w:sz w:val="15"/>
        </w:rPr>
        <w:t xml:space="preserve">3. </w:t>
      </w:r>
      <w:r>
        <w:rPr>
          <w:rFonts w:ascii="Calibri" w:hAnsi="Calibri"/>
          <w:b w:val="0"/>
          <w:color w:val="3A4A28"/>
          <w:sz w:val="17"/>
        </w:rPr>
        <w:t>Columbus McKinnon Leadership and Mission — CEO David Wilson, 'Purpose in Motion,' 'Intelligent Motion Solutions That Move the World Forward,' Automation and Digitization Focus — CMCO Website, SupplyChain247, BusinessWire, 2023-2026</w:t>
      </w:r>
    </w:p>
    <w:p>
      <w:pPr>
        <w:spacing w:before="20" w:after="20"/>
        <w:ind w:left="170"/>
      </w:pPr>
      <w:r>
        <w:rPr>
          <w:rFonts w:ascii="Calibri" w:hAnsi="Calibri"/>
          <w:b/>
          <w:color w:val="4A6B25"/>
          <w:sz w:val="15"/>
        </w:rPr>
        <w:t xml:space="preserve">4. </w:t>
      </w:r>
      <w:r>
        <w:rPr>
          <w:rFonts w:ascii="Calibri" w:hAnsi="Calibri"/>
          <w:b w:val="0"/>
          <w:color w:val="3A4A28"/>
          <w:sz w:val="17"/>
        </w:rPr>
        <w:t>Columbus McKinnon ESG — Board-Level ESG Oversight, Three Pillars (Process/People/Planet), 2026 Sustainability Report, SEVVA Social Score 8.0 — SEC DEF 14A, CMCO Website, SEVVA,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