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CMCT</w:t>
      </w:r>
      <w:r>
        <w:rPr>
          <w:rFonts w:ascii="Calibri" w:hAnsi="Calibri"/>
          <w:b/>
          <w:color w:val="1A2010"/>
          <w:sz w:val="40"/>
        </w:rPr>
        <w:t xml:space="preserve">  Creative Media &amp; Community Trust Corporation</w:t>
      </w:r>
    </w:p>
    <w:p>
      <w:pPr>
        <w:spacing w:after="120"/>
      </w:pPr>
      <w:r>
        <w:rPr>
          <w:rFonts w:ascii="Calibri" w:hAnsi="Calibri"/>
          <w:b/>
          <w:color w:val="6E8450"/>
          <w:sz w:val="18"/>
        </w:rPr>
        <w:t>GROWTH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NMS · United States</w:t>
      </w:r>
    </w:p>
    <w:p>
      <w:pPr>
        <w:spacing w:after="80"/>
      </w:pPr>
      <w:r>
        <w:rPr>
          <w:rFonts w:ascii="Calibri" w:hAnsi="Calibri"/>
          <w:b w:val="0"/>
          <w:color w:val="3A4A28"/>
          <w:sz w:val="20"/>
        </w:rPr>
        <w:t>Creative Media &amp; Community Trust is a small-cap REIT that owns, operates, and develops multifamily residential and creative office properties primarily in select U.S. markets. Led by CEO David Thompson, the company is transitioning its portfolio from office-heavy to multifamily-focused, with same-store multifamily occupancy reaching 95.3% and NOI growing 238% YoY in Q2 2026. Office occupancy is 72.3% and hotel RevPAR reached $180.47. Q2 2026 total revenue was essentially flat at $29.7M with a net loss of $11.0M, narrowing from $14.3M loss a year earlier. Market cap is approximately $14.4M after reverse stock splits and $243M preferred stock redemption into common.</w:t>
      </w:r>
    </w:p>
    <w:p>
      <w:r>
        <w:rPr>
          <w:rFonts w:ascii="Calibri" w:hAnsi="Calibri"/>
          <w:b/>
          <w:color w:val="6E8450"/>
          <w:sz w:val="18"/>
        </w:rPr>
        <w:t>200 Employees · https://www.cmctrust.com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CMCT has executed a meaningful portfolio pivot from pure office REIT to a mixed multifamily/creative office/hotel strategy — same-store multifamily occupancy reached 95.3% with NOI surging 238% YoY in Q2 2026, and hotel RevPAR improved to $180.47 from $166.83 [1]. However, this is a reactive repositioning away from a challenged office market rather than proactive innovation. AI Deployment (0/2): No evidence of AI-powered property management tools, automated leasing platforms, or AI-driven operational savings [2]. Market Share (0/2): CMCT has a market cap of approximately $14.4M — one of the smallest publicly traded REITs, with no meaningful market share in any real estate category [1]. Product Pipeline (0/2): No specific development pipeline with named projects, timelines, or revenue visibility disclosed beyond the ongoing office-to-multifamily conversion strategy [1]. R&amp;D Intensity (0/1): REITs do not conduct R&amp;D; capital expenditures are directed toward property improvements and conversions, which are standard for the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CMCT describes itself as seeking to 'own, operate and develop premier multifamily and creative office assets' — a generic operational description of a REIT that could apply to dozens of peers [2]. No articulated purpose connects the business to a larger societal benefit or distinctive vision. Community Impact (0/2): No evidence of community investment programs, charitable initiatives, or distinctive social impact beyond standard property management [3]. Employee Retention (0/2): No publicly available employee retention data, Glassdoor reviews, or cultural indicators for this micro-cap REIT. Insider Buying (0/2): No evidence of insider buying by CEO David Thompson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202.8% is elevated but between target (70%) and floor (300%), scoring 0.42 (1x weight) [1]. ROE of -15.6% is below the 0% floor, scoring 0.0 (2x weight). Revenue growth of -9.5% YoY is below the 10% target but above the -20% floor, scoring 0.35 (1x weight) [1]. Profit margin of -39.3% is deeply negative, scoring 0.0 against the 0% floor (1x weight). Forward P/E is negative (-1.86, excluded for loss-making company). Weighted sum: (1x0.42)+(2x0.0)+(1x0.35)+(1x0.0) = 0.77, max weight 5, Infrastructure = round(0.77/5 x 10) = 2. Daily dollar volume of approximately $2.5M (556,862 x $4.48) provides marginal liquidity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CMCT exhibits classic finite game behavior — a small REIT struggling to survive structural headwinds in the office market while executing a reactive pivot to multifamily. There is no articulated Just Cause, no evidence of courageous leadership decisions that sacrifice near-term results for long-term capability, and the company's governance actions (reverse stock splits, $243M preferred stock redemption into common) suggest a focus on financial engineering for survival rather than playing an infinite game. The micro-cap size and recurring losses leave no room for long-term strategic investments.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CMCT exists to own and operate real estate for shareholder returns. There is no articulated vision of a future state, no purpose that transcends financial returns, and no evidence that leadership frames the company's mission in terms broader than property acquisition and management [2]. The company's communications focus entirely on NOI, occupancy rates, and financial metrics — finite game language.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employee satisfaction, culture, or organizational health. CMCT is a micro-cap REIT with approximately 200 employees, and no Glassdoor reviews, employee surveys, or cultural indicators were found [3]. The company's financial distress (recurring losses, reverse stock splits, preferred stock conversions) likely creates an environment of uncertainty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CMCT does not appear to reference competitors or frame its competitive positioning in terms of learning or self-improvement. The company's micro-cap size and survival-mode operations leave little bandwidth for competitive reflection.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CMCT is actively transitioning from an office-focused REIT to a multifamily-focused portfolio, with same-store multifamily NOI surging 238% YoY and occupancy reaching 95.3% [1]. CEO David Thompson cited 'an opportunity to significantly improve net operating income as occupancy improves in multifamily' [2]. This demonstrates strategic adaptation to market realities, though the pivot is driven by the deterioration of office demand (survival necessity) rather than proactive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The company's financial actions — reverse stock splits, $243M preferred stock redemption into common equity, and evaluation of asset sales — are defensive financial engineering measures aimed at survival rather than courageous strategic investments [1]. The 69% YoY increase in leasing activity is positive but reflects filling existing vacancies, not bold strategic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CMCT at $4.48 with a micro-cap market capitalization of just $14.4M is a deep value turnaround bet on a REIT successfully pivoting from distressed office to performing multifamily. Q2 2026 same-store multifamily NOI surged 238% YoY with 95.3% occupancy, hotel RevPAR improved 8.2% to $180.47, and the net loss narrowed to $11.0M from $14.3M [1]. The $243M preferred stock redemption into common should improve FFO going forward, and CEO Thompson cited a 69% increase in leasing activity through the first 9 months of 2025 [2]. If the multifamily conversion succeeds and office occupancy (currently 72.3%) stabilizes, the deeply depressed valuation offers asymmetric upside.</w:t>
      </w:r>
    </w:p>
    <w:p>
      <w:pPr>
        <w:spacing w:after="120"/>
      </w:pPr>
      <w:r>
        <w:rPr>
          <w:rFonts w:ascii="Calibri" w:hAnsi="Calibri"/>
          <w:b w:val="0"/>
          <w:color w:val="3A4A28"/>
          <w:sz w:val="20"/>
        </w:rPr>
        <w:t>The bear case is existential for a $14.4M market cap REIT burning cash. Profit margin is -39.3%, ROE is -15.6%, and D/E stands at 202.8%, reflecting an overleveraged balance sheet funding money-losing operations [1]. Revenue declined 9.5% YoY with flat Q2 results despite operational improvements, and analyst consensus expects Q3 revenue to drop sharply to $21.2M [1]. Office occupancy of 72.3% remains well below breakeven in a secular office decline, and the company has limited financial flexibility to fund the multifamily conversion given its micro-cap size and recurring losses. Reverse stock splits and preferred-to-common conversions have destroyed existing shareholder value through dilution. Daily trading volume of ~$2.5M creates significant liquidity risk for institutional investors, and the company's micro-cap status limits analyst coverage and institutional interest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Multifamily portfolio reaching critical mass — 95.3% same-store occupancy and 238% NOI growth demonstrate the conversion strategy is working, and further office-to-multifamily conversions could accelerate the transformation [1]</w:t>
      </w:r>
    </w:p>
    <w:p>
      <w:pPr>
        <w:spacing w:before="40" w:after="40"/>
        <w:ind w:left="283"/>
      </w:pPr>
      <w:r>
        <w:rPr>
          <w:rFonts w:ascii="Calibri" w:hAnsi="Calibri"/>
          <w:b/>
          <w:color w:val="4A6B25"/>
          <w:sz w:val="20"/>
        </w:rPr>
        <w:t xml:space="preserve">2. </w:t>
      </w:r>
      <w:r>
        <w:rPr>
          <w:rFonts w:ascii="Calibri" w:hAnsi="Calibri"/>
          <w:b w:val="0"/>
          <w:color w:val="3A4A28"/>
          <w:sz w:val="20"/>
        </w:rPr>
        <w:t>FFO improvement from preferred stock elimination — the $243M preferred stock redemption into common removes preferred dividend obligations, potentially pushing the company toward FFO breakeven [1]</w:t>
      </w:r>
    </w:p>
    <w:p>
      <w:pPr>
        <w:spacing w:before="40" w:after="40"/>
        <w:ind w:left="283"/>
      </w:pPr>
      <w:r>
        <w:rPr>
          <w:rFonts w:ascii="Calibri" w:hAnsi="Calibri"/>
          <w:b/>
          <w:color w:val="4A6B25"/>
          <w:sz w:val="20"/>
        </w:rPr>
        <w:t xml:space="preserve">3. </w:t>
      </w:r>
      <w:r>
        <w:rPr>
          <w:rFonts w:ascii="Calibri" w:hAnsi="Calibri"/>
          <w:b w:val="0"/>
          <w:color w:val="3A4A28"/>
          <w:sz w:val="20"/>
        </w:rPr>
        <w:t>Potential asset sales or strategic alternatives — management is evaluating asset sales that could unlock value, reduce debt, and refocus the portfolio on performing multifamily assets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financial risk — $14.4M market cap with -39.3% profit margin, -15.6% ROE, and 202.8% D/E ratio creates genuine going-concern risk if the turnaround does not materialize within the funding runway [1]</w:t>
      </w:r>
    </w:p>
    <w:p>
      <w:pPr>
        <w:spacing w:before="40" w:after="40"/>
        <w:ind w:left="283"/>
      </w:pPr>
      <w:r>
        <w:rPr>
          <w:rFonts w:ascii="Calibri" w:hAnsi="Calibri"/>
          <w:b/>
          <w:color w:val="4A6B25"/>
          <w:sz w:val="20"/>
        </w:rPr>
        <w:t xml:space="preserve">2. </w:t>
      </w:r>
      <w:r>
        <w:rPr>
          <w:rFonts w:ascii="Calibri" w:hAnsi="Calibri"/>
          <w:b w:val="0"/>
          <w:color w:val="3A4A28"/>
          <w:sz w:val="20"/>
        </w:rPr>
        <w:t>Office secular decline — 72.3% office occupancy in a market where remote/hybrid work continues to reduce demand for traditional office space, with limited capital to reposition or sell impaired properties [1]</w:t>
      </w:r>
    </w:p>
    <w:p>
      <w:pPr>
        <w:spacing w:before="40" w:after="40"/>
        <w:ind w:left="283"/>
      </w:pPr>
      <w:r>
        <w:rPr>
          <w:rFonts w:ascii="Calibri" w:hAnsi="Calibri"/>
          <w:b/>
          <w:color w:val="4A6B25"/>
          <w:sz w:val="20"/>
        </w:rPr>
        <w:t xml:space="preserve">3. </w:t>
      </w:r>
      <w:r>
        <w:rPr>
          <w:rFonts w:ascii="Calibri" w:hAnsi="Calibri"/>
          <w:b w:val="0"/>
          <w:color w:val="3A4A28"/>
          <w:sz w:val="20"/>
        </w:rPr>
        <w:t>Liquidity and dilution risk — micro-cap status with ~$2.5M daily dollar volume limits investor base, and the preferred-to-common conversion has already diluted existing shareholders, with further capital needs likely requiring additional dilutive transactions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Physical real estate ownership is structurally protected from AI disruption — buildings, apartments, and hotel rooms are tangible assets that AI cannot replace, and demand for housing is driven by fundamental demographic needs [1]. However, CMCT's significant office portfolio exposure (72.3% occupied) faces indirect AI-related headwinds as AI-enabled remote work and virtual collaboration tools reduce demand for traditional office space. The multifamily pivot insulates the company from the worst of office disruption, but the transition is still in progress. Multifamily residential demand is AI-immune — people need physical places to live regardless of technological advances. AI Opportunity (0/1): No AI-derived revenue; the company has not disclosed any AI-driven property management or operational optimization tools.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CMCT Q2 2026 Financial Results — Revenue $29.7M (flat YoY), Net Loss $11.0M, Multifamily Occupancy 95.3%, Office Occupancy 72.3%, Hotel RevPAR $180.47, QuiverQuant/StockAnalysis, 2026</w:t>
      </w:r>
    </w:p>
    <w:p>
      <w:pPr>
        <w:spacing w:before="20" w:after="20"/>
        <w:ind w:left="170"/>
      </w:pPr>
      <w:r>
        <w:rPr>
          <w:rFonts w:ascii="Calibri" w:hAnsi="Calibri"/>
          <w:b/>
          <w:color w:val="4A6B25"/>
          <w:sz w:val="15"/>
        </w:rPr>
        <w:t xml:space="preserve">2. </w:t>
      </w:r>
      <w:r>
        <w:rPr>
          <w:rFonts w:ascii="Calibri" w:hAnsi="Calibri"/>
          <w:b w:val="0"/>
          <w:color w:val="3A4A28"/>
          <w:sz w:val="17"/>
        </w:rPr>
        <w:t>CMCT Corporate Profile — CEO David Thompson, CIO Shaul Kuba, multifamily pivot strategy, 69% leasing activity increase, Panabee/Grafa/BusinessWire, 2025-2026</w:t>
      </w:r>
    </w:p>
    <w:p>
      <w:pPr>
        <w:spacing w:before="20" w:after="20"/>
        <w:ind w:left="170"/>
      </w:pPr>
      <w:r>
        <w:rPr>
          <w:rFonts w:ascii="Calibri" w:hAnsi="Calibri"/>
          <w:b/>
          <w:color w:val="4A6B25"/>
          <w:sz w:val="15"/>
        </w:rPr>
        <w:t xml:space="preserve">3. </w:t>
      </w:r>
      <w:r>
        <w:rPr>
          <w:rFonts w:ascii="Calibri" w:hAnsi="Calibri"/>
          <w:b w:val="0"/>
          <w:color w:val="3A4A28"/>
          <w:sz w:val="17"/>
        </w:rPr>
        <w:t>CMCT ESG and Governance — No specific ESG controversies found; limited ESG disclosure for micro-cap REIT, web search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