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CME</w:t>
      </w:r>
      <w:r>
        <w:rPr>
          <w:rFonts w:ascii="Calibri" w:hAnsi="Calibri"/>
          <w:b/>
          <w:color w:val="1A2010"/>
          <w:sz w:val="40"/>
        </w:rPr>
        <w:t xml:space="preserve">  CME Group Inc.</w:t>
      </w:r>
    </w:p>
    <w:p>
      <w:pPr>
        <w:spacing w:after="120"/>
      </w:pPr>
      <w:r>
        <w:rPr>
          <w:rFonts w:ascii="Calibri" w:hAnsi="Calibri"/>
          <w:b/>
          <w:color w:val="6E8450"/>
          <w:sz w:val="18"/>
        </w:rPr>
        <w:t>DIVIDEND SLEEVE · 2026-09-10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Financial Data &amp; Stock Exchanges · NASDAQ · United States</w:t>
      </w:r>
    </w:p>
    <w:p>
      <w:pPr>
        <w:spacing w:after="80"/>
      </w:pPr>
      <w:r>
        <w:rPr>
          <w:rFonts w:ascii="Calibri" w:hAnsi="Calibri"/>
          <w:b w:val="0"/>
          <w:color w:val="3A4A28"/>
          <w:sz w:val="20"/>
        </w:rPr>
        <w:t>CME Group is the world's largest financial derivatives marketplace, operating exchanges for trading futures and options across interest rates, equity indices, foreign exchange, energy, agricultural commodities, metals, and weather. The company owns the Chicago Mercantile Exchange, Chicago Board of Trade, New York Mercantile Exchange (NYMEX), and COMEX. H1 2026 was the strongest in company history with record revenue, adjusted operating income, and adjusted EPS. Q1 2026 revenue hit a record $1.88B (+14% YoY) with ADV of 36.2M contracts (quarterly all-time high). CEO Terry Duffy announced he will step down in March 2027, with President and CFO Lynne Fitzpatrick succeeding him.</w:t>
      </w:r>
    </w:p>
    <w:p>
      <w:r>
        <w:rPr>
          <w:rFonts w:ascii="Calibri" w:hAnsi="Calibri"/>
          <w:b/>
          <w:color w:val="6E8450"/>
          <w:sz w:val="18"/>
        </w:rPr>
        <w:t>4,000 Employees · https://www.cmegroup.com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CME Group has delivered record financial performance in H1 2026 — record Q1 revenue of $1.88B (+14% YoY), record ADV of 36.2M contracts (+22%), and record H1 adjusted operating income, adjusted net income, and adjusted EPS [1][2]. The company has consistently expanded its product suite across new asset classes and geographies, and successfully launched Bitcoin and Ether futures, establishing the institutional standard for crypto derivatives. The 20-year revenue CAGR of 13.2% demonstrates sustained growth over multiple market cycles. AI Deployment (1/2): CIO Sunil Cutinho is leading AI integration with a focus on 'clarity of thought from the top.' CME Group is deploying AI agents in its trading simulator platform for education and compliance training, and pursuing AI-driven market surveillance and risk management tools [4]. However, AI remains in early deployment stages and is not yet a significant revenue contributor. Market Share (2/2): CME Group is the undisputed global leader in derivatives, with dominant market positions in interest rate futures (Treasury futures), equity index futures (E-mini S&amp;P 500), energy (WTI crude, natural gas), and agricultural commodities [1]. The exchange model benefits from network effects — liquidity attracts liquidity — creating a self-reinforcing moat that competitors (ICE, CBOE, Nasdaq) have struggled to breach in CME's core products. Pipeline (1/2): CME continues expanding into new asset classes (event contracts, ESG products, additional crypto derivatives) and growing international volumes. Data and analytics services provide additional revenue diversification. However, most growth is incremental extension of the existing platform rather than transformative new products. R&amp;D Intensity (1/1): CME's technology investment supports the world's most complex trading infrastructure, processing billions of messages daily with microsecond latency, and the company's ongoing investment in Globex platform upgrades and AI tools is substantial relative to the exchange industry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CME Group's purpose of enabling global risk management and price discovery serves a genuine public function — efficient derivatives markets reduce economic volatility, enable producers and consumers to manage risk, and support capital formation [1]. This purpose has guided the organization since its founding in 1898 as the Chicago Butter and Egg Board and has endured through multiple complete transformations of the business. However, 'enabling risk management' is not emotionally inspiring to a broad audience and reads more as a business function than a transcendent cause. Community Impact (1/2): CME Group Foundation supports financial education and Chicago community investment. The company's ESG product offerings (emissions allowances, renewable energy futures) enable market-based climate solutions, though these are commercial products rather than philanthropic contributions. Employee Retention (2/2): The 2025 employee engagement survey reported 82% overall engagement with 74% participation — strong for the financial services industry [4]. CEO Duffy's 24-year leadership tenure and the internal succession to Lynne Fitzpatrick (a 19-year CME veteran) demonstrate exceptional organizational stability and development of internal talent. The company's benefits and compensation are competitive within the exchange industry. Insider Buying (0/2): No evidence of meaningful net insider buying by Terry Duffy or other executives was identified in recent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sleeve metrics. CME Group's financial profile is exceptional across nearly all metrics. D/E of just 14% ($3.87B debt against substantial equity) scores a perfect 1.0, reflecting the asset-light exchange business model [5]. ROE of 15.92% exceeds the 15% target (score 1.0) [5]. Revenue growth YoY of 14% exceeds the 10% target (score 1.0), and the 5-year revenue CAGR of approximately 6% scores 0.73 [1]. Forward P/E of 20.17x is essentially at the 20x target (score 1.0) [5]. Profit margin of 62.9% is extraordinary — more than triple the 20% target — reflecting the operating leverage of the exchange model (score 1.0) [5]. On dividend metrics: consecutive years paid of approximately 24 (since IPO in 2002) scores 1.0 at 2x weight. Consecutive years of dividend growth of 15 scores 1.0 [5]. The 5-year dividend growth CAGR of 7.63% exceeds the 6% target (score 1.0, 2x weight) [5]. The only meaningful drag is the payout ratio of approximately 91% (including the annual variable dividend), which scores 0.15, reflecting CME's policy of distributing substantially all free cash flow to shareholders. Daily dollar volume exceeds $520M, providing exceptional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CME Group is a strong infinite game player — a 128-year-old institution (founded 1898) that has repeatedly reinvented itself from a butter and egg exchange to the world's largest electronic derivatives marketplace. The planned CEO succession from Duffy to Fitzpatrick reflects long-term organizational thinking, and the company's record of bold strategic decisions (going public, electronic trading transition, Bitcoin futures, CBOT/NYMEX acquisitions) demonstrates consistent courage. The primary limitations are in the trust dimension (compliance-first culture creates bureaucratic friction) and the absence of a deeply articulated cause beyond enabling efficient markets.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CME Group's purpose of enabling global risk management and price discovery has guided the organization since 1898 and has driven genuine strategic decisions — the transition from floor-based to electronic trading, the expansion into new asset classes, and the launch of controversial products (Bitcoin futures) were all in service of making markets more accessible and efficient [1]. The cause is durable and has survived multiple leadership transitions, economic crises, and technological revolutions. However, 'enabling efficient markets' is more functional than transcendent — it serves the financial industry more than a broader human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CME Group's 82% employee engagement score (74% participation) is strong for financial services, and the internal succession of Lynne Fitzpatrick — a 19-year CME veteran promoted from President and CFO — demonstrates deep organizational trust and talent development [4]. However, CME's 'reliability- and compliance-first culture' creates 'heavier bureaucracy and slower change,' suggesting that trust is channeled through formal processes rather than empowerment. The conservative decision-making culture prioritizes stability over the vulnerability-based trust that Sinek describes.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CME Group competes with Intercontinental Exchange (ICE), CBOE, Nasdaq, and increasingly with crypto-native platforms. While these rivals have driven CME to innovate (ICE's attempt to acquire CBOT in 2007 catalyzed CME's own acquisition), no evidence suggests CME frames any competitor as a worthy rival in the Sinek sense. The company's dominant market position may actually inhibit the worthy rival mindset, as network effects make it difficult for competitors to challenge core products.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CME Group is a textbook example of existential flexibility. The organization has fundamentally reinvented itself multiple times over 128 years: from the Chicago Butter and Egg Board to a diversified commodities exchange, from open-outcry floor trading to the Globex electronic platform, from a member-owned cooperative to a publicly traded company (IPO 2002), from a Chicago-centric exchange to a global multi-asset-class platform through acquisitions of CBOT (2007), NYMEX (2008), and other properties [1]. Each transformation was driven by the cause of enabling better markets, not by desperation. The current expansion into crypto derivatives, ESG products, and AI-driven tools represents the latest chapter.</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CME Group has a consistent pattern of bold, costly strategic decisions. The transition from floor-based to electronic trading — which CME pioneered with Globex in 1992 — required investing in technology that would eventually make the trading floor (and many floor traders' livelihoods) obsolete [1]. The decision to go public in 2002, becoming the first U.S. exchange to do so, was unprecedented. The acquisition of rival CBOT in 2007 (outbidding ICE) created the world's largest derivatives exchange. Launching Bitcoin futures in 2017 was controversial but established the institutional standard for crypto derivatives. The planned succession from Terry Duffy to Lynne Fitzpatrick shows willingness to plan for continuity rather than cling to leadership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CME Group at 20x forward earnings is a high-quality compounder with an extraordinary moat built on network effects, regulatory barriers, and systemically important financial infrastructure status. H1 2026 was the strongest in company history — Q1 record revenue of $1.88B (+14% YoY), record ADV of 36.2M contracts (+22%), and record adjusted EPS [1][2]. The 62.9% profit margin reflects the operating leverage of the exchange model, where incremental volume drops almost entirely to the bottom line. The 4.51% dividend yield (including annual variable dividend) with 15 consecutive years of increases and 7.63% 5-year dividend growth CAGR provides compelling total return. ROE of 15.92% and D/E of just 14% demonstrate best-in-class capital efficiency and balance sheet conservatism. The CEO transition from Duffy to Fitzpatrick (a 19-year CME veteran) in March 2027 should provide continuity [3].</w:t>
      </w:r>
    </w:p>
    <w:p>
      <w:pPr>
        <w:spacing w:after="120"/>
      </w:pPr>
      <w:r>
        <w:rPr>
          <w:rFonts w:ascii="Calibri" w:hAnsi="Calibri"/>
          <w:b w:val="0"/>
          <w:color w:val="3A4A28"/>
          <w:sz w:val="20"/>
        </w:rPr>
        <w:t>The bear case centers on volume normalization, high payout ratio, and regulatory risk. The record H1 2026 volumes were driven by elevated market volatility — when volatility normalizes, trading volumes and revenue will decline, and the forward P/E of 20x may appear expensive relative to mid-single-digit EPS growth of ~5.4% expected going forward [5]. The total payout ratio of approximately 91% (regular + variable dividend) leaves minimal retained earnings for organic investment, creating dependence on volume growth to drive shareholder returns. Exchange regulation could shift in ways that reduce CME's pricing power or mandate interoperability, weakening the network effect moat. DeFi and blockchain-based derivatives platforms represent a long-tail disruption risk, though regulatory barriers currently protect CME's position. The revenue growth 5-year CAGR of approximately 6% is solid but below the 10% target, and the company's maturity means transformative growth is unlikely. The Inspire Impact Score of -49 (MISALIGNED) due to LGBT Activism negative attribution may limit allocation for faith-based investors despite 13 positive ESG attributions.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H1 2026 performance with Q1 ADV of 36.2M contracts (+22%) driven by elevated volatility across interest rates, equities, and commodities, with continued market uncertainty likely sustaining elevated trading volumes through 2026 [1][2]</w:t>
      </w:r>
    </w:p>
    <w:p>
      <w:pPr>
        <w:spacing w:before="40" w:after="40"/>
        <w:ind w:left="283"/>
      </w:pPr>
      <w:r>
        <w:rPr>
          <w:rFonts w:ascii="Calibri" w:hAnsi="Calibri"/>
          <w:b/>
          <w:color w:val="4A6B25"/>
          <w:sz w:val="20"/>
        </w:rPr>
        <w:t xml:space="preserve">2. </w:t>
      </w:r>
      <w:r>
        <w:rPr>
          <w:rFonts w:ascii="Calibri" w:hAnsi="Calibri"/>
          <w:b w:val="0"/>
          <w:color w:val="3A4A28"/>
          <w:sz w:val="20"/>
        </w:rPr>
        <w:t>CEO succession to Lynne Fitzpatrick (19-year CME veteran, current President and CFO) in March 2027, providing leadership continuity and potentially unlocking new strategic initiatives under fresh leadership [3]</w:t>
      </w:r>
    </w:p>
    <w:p>
      <w:pPr>
        <w:spacing w:before="40" w:after="40"/>
        <w:ind w:left="283"/>
      </w:pPr>
      <w:r>
        <w:rPr>
          <w:rFonts w:ascii="Calibri" w:hAnsi="Calibri"/>
          <w:b/>
          <w:color w:val="4A6B25"/>
          <w:sz w:val="20"/>
        </w:rPr>
        <w:t xml:space="preserve">3. </w:t>
      </w:r>
      <w:r>
        <w:rPr>
          <w:rFonts w:ascii="Calibri" w:hAnsi="Calibri"/>
          <w:b w:val="0"/>
          <w:color w:val="3A4A28"/>
          <w:sz w:val="20"/>
        </w:rPr>
        <w:t>AI integration across trading simulators, market surveillance, and risk management tools, enhancing operational efficiency and creating new data/analytics revenue streams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Volume normalization risk as H1 2026 record trading volumes were driven by elevated market volatility — a return to average volatility would compress revenue and could trigger multiple contraction from the 20x forward P/E [1]</w:t>
      </w:r>
    </w:p>
    <w:p>
      <w:pPr>
        <w:spacing w:before="40" w:after="40"/>
        <w:ind w:left="283"/>
      </w:pPr>
      <w:r>
        <w:rPr>
          <w:rFonts w:ascii="Calibri" w:hAnsi="Calibri"/>
          <w:b/>
          <w:color w:val="4A6B25"/>
          <w:sz w:val="20"/>
        </w:rPr>
        <w:t xml:space="preserve">2. </w:t>
      </w:r>
      <w:r>
        <w:rPr>
          <w:rFonts w:ascii="Calibri" w:hAnsi="Calibri"/>
          <w:b w:val="0"/>
          <w:color w:val="3A4A28"/>
          <w:sz w:val="20"/>
        </w:rPr>
        <w:t>High total payout ratio of approximately 91% (regular + variable dividend) leaves limited retained earnings for organic investment, creating dependence on volume-driven revenue growth [5]</w:t>
      </w:r>
    </w:p>
    <w:p>
      <w:pPr>
        <w:spacing w:before="40" w:after="40"/>
        <w:ind w:left="283"/>
      </w:pPr>
      <w:r>
        <w:rPr>
          <w:rFonts w:ascii="Calibri" w:hAnsi="Calibri"/>
          <w:b/>
          <w:color w:val="4A6B25"/>
          <w:sz w:val="20"/>
        </w:rPr>
        <w:t xml:space="preserve">3. </w:t>
      </w:r>
      <w:r>
        <w:rPr>
          <w:rFonts w:ascii="Calibri" w:hAnsi="Calibri"/>
          <w:b w:val="0"/>
          <w:color w:val="3A4A28"/>
          <w:sz w:val="20"/>
        </w:rPr>
        <w:t>Long-tail regulatory and technology disruption risk from DeFi/blockchain-based derivatives platforms and potential regulatory changes mandating exchange interoperability, which could erode network effect moat over time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Financial exchanges are among the most AI-resilient businesses in existence. CME Group's moat is built on network effects (liquidity attracts liquidity), regulatory barriers (exchange licensing and clearing house designation), critical infrastructure status (systemically important financial market utility), and massive switching costs for participants who have built trading infrastructure connected to CME's APIs and Globex platform [1]. No AI system can replicate the trust, regulation, and network effects that define CME's marketplace. The clearing house function — acting as counterparty to every trade — requires regulatory approval and capital reserves that create near-insurmountable barriers. However, the 2/9 deduction reflects two genuine risks: (1) DeFi and blockchain-based derivatives platforms could theoretically bypass traditional exchange intermediation, though regulatory requirements currently protect CME's position, and (2) AI-driven market-making and algorithmic trading, while generating volume for CME, could commoditize the execution layer over time. AI Opportunity (1/1): CME is actively deploying AI in its trading simulator platform with AI agents guiding users through trading workflows and compliance, AI-powered market surveillance for detecting manipulation and suspicious trading patterns, and AI-enhanced risk management tools [4]. These applications improve operational efficiency and regulatory compliance while creating modest new revenue opportunities in data and analytics.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CME Group Q1 2026 Record Results — Revenue $1.88B (+14% YoY), adj EPS $3.36 (+20%), ADV 36.2M contracts (quarterly all-time high, +22%), CME Group Press Release, April 2026</w:t>
      </w:r>
    </w:p>
    <w:p>
      <w:pPr>
        <w:spacing w:before="20" w:after="20"/>
        <w:ind w:left="170"/>
      </w:pPr>
      <w:r>
        <w:rPr>
          <w:rFonts w:ascii="Calibri" w:hAnsi="Calibri"/>
          <w:b/>
          <w:color w:val="4A6B25"/>
          <w:sz w:val="15"/>
        </w:rPr>
        <w:t xml:space="preserve">2. </w:t>
      </w:r>
      <w:r>
        <w:rPr>
          <w:rFonts w:ascii="Calibri" w:hAnsi="Calibri"/>
          <w:b w:val="0"/>
          <w:color w:val="3A4A28"/>
          <w:sz w:val="17"/>
        </w:rPr>
        <w:t>CME Group Q2 2026 Results — Revenue $1.7B, record H1 across revenue, adj operating income, adj net income, and adj EPS, CME Group Press Release, July 2026</w:t>
      </w:r>
    </w:p>
    <w:p>
      <w:pPr>
        <w:spacing w:before="20" w:after="20"/>
        <w:ind w:left="170"/>
      </w:pPr>
      <w:r>
        <w:rPr>
          <w:rFonts w:ascii="Calibri" w:hAnsi="Calibri"/>
          <w:b/>
          <w:color w:val="4A6B25"/>
          <w:sz w:val="15"/>
        </w:rPr>
        <w:t xml:space="preserve">3. </w:t>
      </w:r>
      <w:r>
        <w:rPr>
          <w:rFonts w:ascii="Calibri" w:hAnsi="Calibri"/>
          <w:b w:val="0"/>
          <w:color w:val="3A4A28"/>
          <w:sz w:val="17"/>
        </w:rPr>
        <w:t>CME Group CEO Succession — Terry Duffy stepping down March 2027, Lynne Fitzpatrick (19-year veteran, President &amp; CFO) named successor, CME Group Press Release, June 2026</w:t>
      </w:r>
    </w:p>
    <w:p>
      <w:pPr>
        <w:spacing w:before="20" w:after="20"/>
        <w:ind w:left="170"/>
      </w:pPr>
      <w:r>
        <w:rPr>
          <w:rFonts w:ascii="Calibri" w:hAnsi="Calibri"/>
          <w:b/>
          <w:color w:val="4A6B25"/>
          <w:sz w:val="15"/>
        </w:rPr>
        <w:t xml:space="preserve">4. </w:t>
      </w:r>
      <w:r>
        <w:rPr>
          <w:rFonts w:ascii="Calibri" w:hAnsi="Calibri"/>
          <w:b w:val="0"/>
          <w:color w:val="3A4A28"/>
          <w:sz w:val="17"/>
        </w:rPr>
        <w:t>CME Group AI &amp; Culture — CIO Sunil Cutinho leading AI integration, trading simulator AI agents, 82% employee engagement (74% participation), Sierra Ventures/Built In, 2025-2026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Morningstar — CME key statistics: Forward PE 20.17x, D/E 14%, ROE 15.92%, Profit Margin 62.9%, Dividend Yield 4.51%,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