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CMS</w:t>
      </w:r>
      <w:r>
        <w:rPr>
          <w:rFonts w:ascii="Calibri" w:hAnsi="Calibri"/>
          <w:b/>
          <w:color w:val="1A2010"/>
          <w:sz w:val="40"/>
        </w:rPr>
        <w:t xml:space="preserve">  CMS Energy Corporation</w:t>
      </w:r>
    </w:p>
    <w:p>
      <w:pPr>
        <w:spacing w:after="120"/>
      </w:pPr>
      <w:r>
        <w:rPr>
          <w:rFonts w:ascii="Calibri" w:hAnsi="Calibri"/>
          <w:b/>
          <w:color w:val="6E8450"/>
          <w:sz w:val="18"/>
        </w:rPr>
        <w:t>DIVIDEND SLEEVE · 2026-09-03 · Inspire: 53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Utilities · Utilities - Regulated Electric · NYSE · United States</w:t>
      </w:r>
    </w:p>
    <w:p>
      <w:pPr>
        <w:spacing w:after="80"/>
      </w:pPr>
      <w:r>
        <w:rPr>
          <w:rFonts w:ascii="Calibri" w:hAnsi="Calibri"/>
          <w:b w:val="0"/>
          <w:color w:val="3A4A28"/>
          <w:sz w:val="20"/>
        </w:rPr>
        <w:t>CMS Energy Corporation operates primarily through Consumers Energy, Michigan's largest energy provider serving 6.8 million residents with regulated electric and natural gas. The company also operates NorthStar Clean Energy, an independent power generation business focused on renewables. CEO Garrick Rochow (since 2020, 20+ years at the company) is executing a clean energy transformation — retiring coal plants faster than IPCC recommendations, targeting net-zero carbon and 98% water use reduction. Q1 2026 adjusted EPS of $1.13 (+10.8% YoY), with 2026 guidance of $3.83-$3.90 and long-term 6-8% EPS growth. NorthStar swung from -$18M loss to $41M profit on new renewable projects.</w:t>
      </w:r>
    </w:p>
    <w:p>
      <w:r>
        <w:rPr>
          <w:rFonts w:ascii="Calibri" w:hAnsi="Calibri"/>
          <w:b/>
          <w:color w:val="6E8450"/>
          <w:sz w:val="18"/>
        </w:rPr>
        <w:t>8,000 Employees · https://www.cmsenergy.com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CMS Energy is executing a clean energy transformation — NorthStar Clean Energy swung from a $18M loss to $41M profit on new renewable projects, and the company is retiring coal plants faster than IPCC climate recommendations [1][2]. This represents a meaningful strategic shift, but coal-to-renewable transitions are industry-wide for regulated utilities rather than a unique CMS innovation. AI Deployment (0/2): No evidence of AI-powered products or quantified AI-driven operational savings. The company added AI board expertise (Myrna Soto) in February 2026, signaling intent, but no deployed AI capabilities were identified [2]. Market Share (1/2): Consumers Energy is Michigan's largest energy provider with a regulated monopoly serving 6.8 million residents, providing dominant and protected market position within its franchise territory [1]. Product Pipeline (1/2): Specific clean energy targets include zero-coal generation, net-zero carbon emissions, 98% water use reduction by 2026 vs 2012 base, and continuing renewable buildout with defined timelines [3]. R&amp;D Intensity (0/1): Utility sector has minimal R&amp;D spending relative to revenue; CMS Energy is not an exception.</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CMS Energy's purpose — 'World Class Performance Delivering Hometown Service' — is specific and connects utility operations to community accountability, distinguishing from generic utility missions [2]. The clean energy transition adds purpose beyond basic service delivery. However, it does not articulate a truly transformative vision. Community Impact (1/2): Consumers Energy's regulated service to 6.8 million Michigan residents creates inherent community accountability, with carbon reduction targets exceeding IPCC recommendations and significant infrastructure investment in Michigan communities [3]. No specific charitable programs with dollar amounts were identified beyond operational service. Employee Retention (1/2): CEO Garrick Rochow has spent 20+ years at CMS/Consumers Energy, demonstrating deep institutional loyalty [2]. New VP of Human Resources appointed in 2026 to lead people and culture strategy for 8,000+ employees. The regulated utility model provides employment stability. No specific turnover data available. Insider Buying (0/2): No evidence of meaningful net insider buying by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Dividend metrics. CMS Energy demonstrates strong infrastructure fundamentals anchored by exceptional dividend durability — the 20th consecutive annual increase ($2.28 for 2026, +$0.11) and 5-year dividend CAGR of ~6.5% both score at maximum with 2x weight [1][4]. Forward P/E of 19.15x scores at the target boundary. TTM revenue growth of ~10% hits the target. Profit margin of 12.55% scores moderately (0.63) against the 20% target, typical for regulated utilities [4]. ROE of 10.37% scores 0.69, below the 15% target but solid for the regulated utility sector. D/E of 190% reflects utility-typical capital intensity but scores only 0.48 against the 70% target, improving from 308% in prior periods [4]. Payout ratio of 62% is sustainable against the 40% target, scoring 0.63. The stock clears the liquidity floor with ~$262M in daily trading volume (~3.5M shares × $75).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CMS Energy demonstrates strong infinite-game characteristics through its multi-decade clean energy transformation, 20-year consecutive dividend growth track record, and deep Michigan community roots. The regulated utility model inherently encourages long-term planning, and CEO Rochow's 20+ year tenure reflects institutional commitment. However, the clean energy transition increasingly aligns with regulatory mandates and political trends rather than contrarian courage, and the company's purpose — while genuine — is bounded by the utility service model.</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CMS Energy's commitment to 'World Class Performance Delivering Hometown Service' combined with the clean energy transformation — retiring coal faster than IPCC recommendations, targeting net-zero carbon, reducing water use 98% — provides a genuine cause that shapes strategic decisions [2][3]. The purpose connects utility service to environmental stewardship and community welfare. However, the cause has not been tested through crisis in the way Sinek requires for 3 points, and the clean energy transition is increasingly mandated by regulation rather than purely voluntary.</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Garrick Rochow's 20+ year tenure at CMS/Consumers Energy signals deep institutional loyalty and culture [2]. The company restructured its organization in July 2025 to support transformation strategy and appointed a new VP of HR for people and culture in 2026, indicating proactive organizational development. However, no specific employee satisfaction, tenure, or turnover data is available to distinguish from utility industry norms.</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CMS Energy benchmarks itself against peer utilities like DTE Energy, NextEra Energy, and other regulated operators in clean energy adoption, operational efficiency, and customer satisfaction [3]. The company's accelerated coal retirement timeline — faster than both regulation and peers — reflects competitive drive for environmental leadership motivated by self-improvement rather than market share warfare.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transition from coal-fired to renewable energy generation represents meaningful strategic evolution — CMS Energy is voluntarily transforming its generation fleet at a pace exceeding regulatory requirements [1][3]. NorthStar Clean Energy diversifies beyond core regulated operations. However, the coal-to-renewable transition is an industry-wide trend rather than a uniquely transformative Sinek-style pivot, and the company remains fundamentally a regulated Michigan utility.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CMS Energy has committed to retiring coal plants on a timeline faster than required by Michigan regulation and IPCC climate recommendations, accepting near-term capital costs for long-term clean energy transformation [1][3]. NorthStar Clean Energy's turnaround from -$18M loss to $41M profit demonstrates willingness to invest through unprofitability. However, clean energy investments are increasingly consensus rather than contrarian, supported by favorable regulation and public opinion.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CMS Energy at 19.15x forward earnings with a 3.04% yield and 20 consecutive annual dividend increases offers premium regulated utility quality with above-average growth. Q1 2026 adjusted EPS of $1.13 (+10.8% YoY) supports full-year guidance of $3.83-$3.90, and management expressed confidence toward the high end of 6-8% long-term EPS growth [1]. NorthStar Clean Energy's turnaround from -$18M loss to $41M profit signals the renewable platform is reaching scale. TTM revenue of $8.81B (+10% YoY) reflects rate increases and growing Michigan electricity demand. The 62% payout ratio provides room for continued dividend growth while funding the multi-billion-dollar clean energy capital program. AI-driven data center demand in Michigan offers incremental load growth upside.</w:t>
      </w:r>
    </w:p>
    <w:p>
      <w:pPr>
        <w:spacing w:after="120"/>
      </w:pPr>
      <w:r>
        <w:rPr>
          <w:rFonts w:ascii="Calibri" w:hAnsi="Calibri"/>
          <w:b w:val="0"/>
          <w:color w:val="3A4A28"/>
          <w:sz w:val="20"/>
        </w:rPr>
        <w:t>The bear case centers on utility-typical constraints and valuation. D/E of 190% reflects the capital-intensive nature of grid modernization and renewable buildout — rising interest rates directly increase the company's cost of capital and compress earnings growth potential [4]. Forward P/E of 19.15x is at the premium end for regulated utilities, leaving limited valuation upside unless the company consistently delivers at the high end of guidance. ROE of 10.37% and profit margin of 12.55% are solid but not exceptional, constrained by regulatory rate structures. Michigan Public Service Commission rate case outcomes represent ongoing regulatory risk that could limit cost recovery on the clean energy capital program. Execution risk exists on supply chain constraints for renewable energy equipment, and the clean energy transformation timeline spans decades with uncertain ultimate returns [3]. The Inspire Impact Score of 53 (ALIGNED) is a positive for faith-based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 data center demand growth in Michigan driving incremental electricity load — hyperscaler investment in the region directly increases Consumers Energy's rate base and long-term earnings trajectory [1]</w:t>
      </w:r>
    </w:p>
    <w:p>
      <w:pPr>
        <w:spacing w:before="40" w:after="40"/>
        <w:ind w:left="283"/>
      </w:pPr>
      <w:r>
        <w:rPr>
          <w:rFonts w:ascii="Calibri" w:hAnsi="Calibri"/>
          <w:b/>
          <w:color w:val="4A6B25"/>
          <w:sz w:val="20"/>
        </w:rPr>
        <w:t xml:space="preserve">2. </w:t>
      </w:r>
      <w:r>
        <w:rPr>
          <w:rFonts w:ascii="Calibri" w:hAnsi="Calibri"/>
          <w:b w:val="0"/>
          <w:color w:val="3A4A28"/>
          <w:sz w:val="20"/>
        </w:rPr>
        <w:t>NorthStar Clean Energy scaling from early profitability ($41M net income vs -$18M prior year) as new renewable projects contribute, potentially becoming a meaningful earnings diversifier [1]</w:t>
      </w:r>
    </w:p>
    <w:p>
      <w:pPr>
        <w:spacing w:before="40" w:after="40"/>
        <w:ind w:left="283"/>
      </w:pPr>
      <w:r>
        <w:rPr>
          <w:rFonts w:ascii="Calibri" w:hAnsi="Calibri"/>
          <w:b/>
          <w:color w:val="4A6B25"/>
          <w:sz w:val="20"/>
        </w:rPr>
        <w:t xml:space="preserve">3. </w:t>
      </w:r>
      <w:r>
        <w:rPr>
          <w:rFonts w:ascii="Calibri" w:hAnsi="Calibri"/>
          <w:b w:val="0"/>
          <w:color w:val="3A4A28"/>
          <w:sz w:val="20"/>
        </w:rPr>
        <w:t>Continued dividend growth runway — 20th consecutive increase to $2.28 with 62% payout ratio and 6-8% EPS growth guidance leaves room for high-single-digit annual dividend increases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Michigan Public Service Commission rate case risk — unfavorable outcomes could limit cost recovery on the multi-billion-dollar clean energy capital program and constrain the 6-8% EPS growth target [1]</w:t>
      </w:r>
    </w:p>
    <w:p>
      <w:pPr>
        <w:spacing w:before="40" w:after="40"/>
        <w:ind w:left="283"/>
      </w:pPr>
      <w:r>
        <w:rPr>
          <w:rFonts w:ascii="Calibri" w:hAnsi="Calibri"/>
          <w:b/>
          <w:color w:val="4A6B25"/>
          <w:sz w:val="20"/>
        </w:rPr>
        <w:t xml:space="preserve">2. </w:t>
      </w:r>
      <w:r>
        <w:rPr>
          <w:rFonts w:ascii="Calibri" w:hAnsi="Calibri"/>
          <w:b w:val="0"/>
          <w:color w:val="3A4A28"/>
          <w:sz w:val="20"/>
        </w:rPr>
        <w:t>D/E of 190% and capital-intensive renewable buildout make the company sensitive to rising interest rates, which directly increase borrowing costs and compress the earned ROE of 10.37% [4]</w:t>
      </w:r>
    </w:p>
    <w:p>
      <w:pPr>
        <w:spacing w:before="40" w:after="40"/>
        <w:ind w:left="283"/>
      </w:pPr>
      <w:r>
        <w:rPr>
          <w:rFonts w:ascii="Calibri" w:hAnsi="Calibri"/>
          <w:b/>
          <w:color w:val="4A6B25"/>
          <w:sz w:val="20"/>
        </w:rPr>
        <w:t xml:space="preserve">3. </w:t>
      </w:r>
      <w:r>
        <w:rPr>
          <w:rFonts w:ascii="Calibri" w:hAnsi="Calibri"/>
          <w:b w:val="0"/>
          <w:color w:val="3A4A28"/>
          <w:sz w:val="20"/>
        </w:rPr>
        <w:t>Execution risk on the clean energy transition — supply chain constraints for solar panels, wind turbines, and battery storage could delay timelines, and construction cost inflation could reduce project returns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CMS Energy's core business — generating, transmitting, and distributing electricity and natural gas through regulated physical infrastructure in Michigan — is structurally immune to AI disruption [1]. The regulated monopoly franchise, physical utility infrastructure, and essential service nature create moats that AI cannot overcome. AI data center demand is a direct tailwind: growing electricity consumption from hyperscalers and data centers in Michigan increases CMS Energy's rate base and earnings growth potential [1]. The company added AI board expertise in 2026, positioning to leverage AI for grid optimization and operational efficiency [2]. Scores 8 rather than 9 because distributed energy resources and smart-grid automation could, over the very long term, reduce centralized utility relevance — but this remains speculative. AI Opportunity (0/1): No direct AI-generated revenue. CMS Energy benefits indirectly from AI-driven electricity demand growth, but does not sell AI products or services.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53</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CMS Energy Q1 2026 Earnings Release — Adj EPS $1.13 (+10.8% YoY), Reported EPS $1.10, FY2026 Guidance $3.83-$3.90, LT Growth 6-8%, NorthStar $41M profit (vs -$18M), PRNewswire/StockTitan, April 2026</w:t>
      </w:r>
    </w:p>
    <w:p>
      <w:pPr>
        <w:spacing w:before="20" w:after="20"/>
        <w:ind w:left="170"/>
      </w:pPr>
      <w:r>
        <w:rPr>
          <w:rFonts w:ascii="Calibri" w:hAnsi="Calibri"/>
          <w:b/>
          <w:color w:val="4A6B25"/>
          <w:sz w:val="15"/>
        </w:rPr>
        <w:t xml:space="preserve">2. </w:t>
      </w:r>
      <w:r>
        <w:rPr>
          <w:rFonts w:ascii="Calibri" w:hAnsi="Calibri"/>
          <w:b w:val="0"/>
          <w:color w:val="3A4A28"/>
          <w:sz w:val="17"/>
        </w:rPr>
        <w:t>CMS Energy Corporate — CEO Garrick Rochow (since 2020, 20+ yrs), Board AI expertise (Myrna Soto, Feb 2026), organizational restructure July 2025, 8,000+ employees, mission 'World Class Performance Delivering Hometown Service'</w:t>
      </w:r>
    </w:p>
    <w:p>
      <w:pPr>
        <w:spacing w:before="20" w:after="20"/>
        <w:ind w:left="170"/>
      </w:pPr>
      <w:r>
        <w:rPr>
          <w:rFonts w:ascii="Calibri" w:hAnsi="Calibri"/>
          <w:b/>
          <w:color w:val="4A6B25"/>
          <w:sz w:val="15"/>
        </w:rPr>
        <w:t xml:space="preserve">3. </w:t>
      </w:r>
      <w:r>
        <w:rPr>
          <w:rFonts w:ascii="Calibri" w:hAnsi="Calibri"/>
          <w:b w:val="0"/>
          <w:color w:val="3A4A28"/>
          <w:sz w:val="17"/>
        </w:rPr>
        <w:t>CMS Energy Sustainability — Coal retirement faster than IPCC recs, net-zero target, 98% water use reduction, ESG reports, serving 6.8M Michigan residents, carbon neutrality commitments</w:t>
      </w:r>
    </w:p>
    <w:p>
      <w:pPr>
        <w:spacing w:before="20" w:after="20"/>
        <w:ind w:left="170"/>
      </w:pPr>
      <w:r>
        <w:rPr>
          <w:rFonts w:ascii="Calibri" w:hAnsi="Calibri"/>
          <w:b/>
          <w:color w:val="4A6B25"/>
          <w:sz w:val="15"/>
        </w:rPr>
        <w:t xml:space="preserve">4. </w:t>
      </w:r>
      <w:r>
        <w:rPr>
          <w:rFonts w:ascii="Calibri" w:hAnsi="Calibri"/>
          <w:b w:val="0"/>
          <w:color w:val="3A4A28"/>
          <w:sz w:val="17"/>
        </w:rPr>
        <w:t>StockAnalysis, GuruFocus, Yahoo Finance — CMS Key Statistics: Forward P/E 19.15x, Trailing P/E 20.90x, D/E 190%, ROE 10.37%, Profit Margin 12.55%, Stock Price ~$75, Dividend $2.28 (3.04%), 20th consecutive increase, Avg Volume ~3.5M,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