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CM</w:t>
      </w:r>
      <w:r>
        <w:rPr>
          <w:rFonts w:ascii="Calibri" w:hAnsi="Calibri"/>
          <w:b/>
          <w:color w:val="1A2010"/>
          <w:sz w:val="40"/>
        </w:rPr>
        <w:t xml:space="preserve">  Canadian Imperial Bank of Commerce</w:t>
      </w:r>
    </w:p>
    <w:p>
      <w:pPr>
        <w:spacing w:after="120"/>
      </w:pPr>
      <w:r>
        <w:rPr>
          <w:rFonts w:ascii="Calibri" w:hAnsi="Calibri"/>
          <w:b/>
          <w:color w:val="6E8450"/>
          <w:sz w:val="18"/>
        </w:rPr>
        <w:t>DIVIDEND SLEEVE · 2026-09-25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Canada</w:t>
      </w:r>
    </w:p>
    <w:p>
      <w:pPr>
        <w:spacing w:after="80"/>
      </w:pPr>
      <w:r>
        <w:rPr>
          <w:rFonts w:ascii="Calibri" w:hAnsi="Calibri"/>
          <w:b w:val="0"/>
          <w:color w:val="3A4A28"/>
          <w:sz w:val="20"/>
        </w:rPr>
        <w:t>Canadian Imperial Bank of Commerce (CIBC) is one of Canada's Big Five banks, providing personal and business banking, wealth management, capital markets, and commercial banking services across Canada, the U.S., and globally. Founded in 1867 and headquartered in Toronto, CIBC has delivered nine consecutive quarters of double-digit EPS growth through Q3 FY2026. Under CEO Harry Culham (appointed November 2025), CIBC launched CAI 2.0 — the first enterprise-wide agentic AI workspace in Canadian banking — and announced the US$1.6B Caribbean divestiture to sharpen focus on core North American operations.</w:t>
      </w:r>
    </w:p>
    <w:p>
      <w:r>
        <w:rPr>
          <w:rFonts w:ascii="Calibri" w:hAnsi="Calibri"/>
          <w:b/>
          <w:color w:val="6E8450"/>
          <w:sz w:val="18"/>
        </w:rPr>
        <w:t>51,711 Employees · https://www.cibc.com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CIBC has meaningfully expanded its U.S. commercial banking and wealth management footprint over the past five years, opening new revenue streams beyond its Canadian core, and announced the US$1.6B Caribbean divestiture to sharpen strategic focus [1]. AI Deployment (2/2): CIBC has 100+ AI use cases in production, including the in-house CAI generative AI platform built on Microsoft Azure which improved document processing accuracy from ~35% to ~95%; in July 2026 CIBC launched CAI 2.0, the first enterprise-wide agentic AI workspace in Canadian banking [2]. Market Share (1/2): CIBC is Canada's 5th-largest bank by assets — a meaningful player but not the category leader; Q3 FY2026 revenue rose 17% YoY and Q1 surged 15%, outpacing several Big Five peers and suggesting share gains [1]. Product Pipeline (0/2): No specific next-generation consumer-facing product launches with defined timelines were identified beyond continued AI platform expansion and digital banking improvements. R&amp;D Intensity (1/1): CIBC's technology spending is above average among Canadian banks, with the Microsoft-partnered Enterprise GenAI platform, CAI 2.0 agentic deployment, and cloud migration representing frontier-level investment for the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CIBC's purpose — 'to help make your ambition a reality' — is client-focused and clear but interchangeable with most major bank purpose statements; it identifies the bank's role without articulating a transformative vision of a better future [3]. Community Impact (2/2): The CIBC Foundation invested C$66.5M in communities in FY2024, with signature programs including the CIBC Run for the Cure (Canada's largest single-day breast cancer fundraiser) and Team Next Generation youth mentorship — specific, measurable, and sustained over decades [4]. Employee Retention (0/2): CIBC appointed Yvonne Dimitroff as EVP and CHRO for People, Culture and Talent, with a stated focus on 'extreme ownership, collaboration and enterprise alignment,' but no specific retention, tenure, or voluntary turnover data distinguishes CIBC from industry average [2]. Insider Buying (0/2): COO Harry Culham exercised 147,456 stock options at $58.35 and sold at $112.28 for nearly $8M in September 2025, representing net insider selling. No meaningful net insider buying by executives was identified in the past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on available metrics excluding D/E (structurally inapplicable to banks). CIBC delivers strong financials: ROE of 15.6% meeting the 15% target, robust revenue growth of 16.6% YoY with an estimated 8% 5-year CAGR, forward P/E of 13.8x well below the 20 target, and profit margin of 33.7% [1][5]. The bank has paid dividends for 158 consecutive years (since 1868), though consecutive growth years stands at only 4 following the 2020-2021 OSFI-mandated freeze. Payout ratio of 40.1% sits at the 40% target. Estimated 5-year dividend growth CAGR of ~5% trails the 6% target. Liquidity easily clears the floor at $142.5M daily trading value. Weighted calculation on available metrics yields 9.9/11.0 = 9/10.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CIBC's 159-year operating history demonstrates remarkable institutional endurance, and the smooth leadership transition to Harry Culham reflects organizational continuity. However, the bank's purpose statement is generic marketing, the 2020-2021 dividend freeze revealed finite-game pressure during crisis, and strategic language emphasizes 'performance-driven' outcomes over serving a cause beyond profit. The Caribbean exit, U.S. expansion, and AI transformation show flexibility, but the core banking model remains fundamentally unchanged.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CIBC's purpose — 'to help make your ambition a reality' — is a polished tagline, not a Just Cause in Sinek's framework [3]. It does not describe a future state that does not yet exist, nor is it so bold it can never be fully achieved. The purpose is interchangeable with virtually any financial services firm. CEO Culham describes CIBC as 'client-focused, connected, and performance-driven' — operational language that optimizes for results, not a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CIBC maintains a stable organizational culture with orderly leadership succession — Culham's appointment from COO represents seamless internal transition, and his rise from intern to CEO over decades suggests a culture that develops talent [3]. The bank employs approximately 51,700 people with no major reports of cultural dysfunction in recent years. However, no specific current retention or satisfaction data differentiates CIBC from industry average.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CIBC management frames competition with larger Canadian peers (RBC, TD) as motivation to improve rather than a war to win. The U.S. expansion strategy and wealth management pivot reflect a response to rivals' strengths — building capabilities in areas where peers excel — rather than zero-sum competitive destruction [1]. CEO Culham's language emphasizes 'accelerating our progress' and 'creating value for stakeholders' rather than market share battles.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CIBC has evolved its business mix meaningfully — expanding U.S. commercial banking and wealth management, making a transformative enterprise AI bet with CAI 2.0, and divesting the Caribbean operations for US$1.6B to sharpen focus [1][2]. These are real strategic shifts but incremental portfolio optimization, not transformative reinvention. The core business model of deposit-taking, lending, and fee-based financial services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CIBC invested heavily in its Enterprise GenAI platform and launched CAI 2.0 as first-mover in Canadian banking AI — a genuine commitment to long-term capability [2]. The Caribbean exit demonstrates willingness to walk away from a profitable business. However, the 2020-2021 dividend freeze followed the industry herd rather than demonstrating independent conviction, and the current strategic decisions represent competent portfolio management rather than courageous bets that sacrifice near-term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CIBC at 13.8x forward earnings offers compelling value for a Big Five Canadian bank delivering accelerating growth — Q3 FY2026 revenue rose 17% YoY to CA$7.80B with adjusted net income up 26%, extending the streak to nine consecutive quarters of double-digit EPS growth [1]. Q1 FY2026 set records with revenue of $8.4B (+15%) and net income surging 43% to $3.1B. ROE of 15.6% meets the IOWN target, profit margin of 33.7% is well above the 20% target, and the forward P/E of 13.8x represents a meaningful discount to the S&amp;P 500 while delivering superior earnings growth. CIBC's 158-year dividend history, 2.78% current yield, and payout ratio at 40% provide income durability. The CAI 2.0 agentic AI platform — first in Canadian banking — positions CIBC for operating leverage gains through enterprise-wide automation [2].</w:t>
      </w:r>
    </w:p>
    <w:p>
      <w:pPr>
        <w:spacing w:after="120"/>
      </w:pPr>
      <w:r>
        <w:rPr>
          <w:rFonts w:ascii="Calibri" w:hAnsi="Calibri"/>
          <w:b w:val="0"/>
          <w:color w:val="3A4A28"/>
          <w:sz w:val="20"/>
        </w:rPr>
        <w:t>The bear case centers on CIBC's outsized Canadian residential real estate exposure — approximately 50% of the loan book — which remains vulnerable if the housing market corrects under elevated interest rates. CEO transition risk persists as Harry Culham, who assumed the role in November 2025, continues organizational restructuring that could disrupt the momentum producing nine consecutive quarters of double-digit EPS growth [3]. The 4-year consecutive dividend growth streak (post-COVID OSFI freeze) and estimated 5% 5-year dividend growth CAGR trail inflation-adjusted targets, limiting appeal for income-focused investors. Fintech and open banking regulations could gradually erode the deposit market share moat among younger demographics. The Inspire Impact Score of -67 (MISALIGNED) limits allocation for faith-based investors. Historical regulatory penalties (CFTC $30M fine, FINTRAC $1.3M) signal compliance vulnerabilities.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Nine consecutive quarters of double-digit EPS growth with Q3 FY2026 adjusted net income up 26% YoY, driven by broad-based strength across all business units — continued momentum could drive valuation re-rating from 13.8x forward earnings [1]</w:t>
      </w:r>
    </w:p>
    <w:p>
      <w:pPr>
        <w:spacing w:before="40" w:after="40"/>
        <w:ind w:left="283"/>
      </w:pPr>
      <w:r>
        <w:rPr>
          <w:rFonts w:ascii="Calibri" w:hAnsi="Calibri"/>
          <w:b/>
          <w:color w:val="4A6B25"/>
          <w:sz w:val="20"/>
        </w:rPr>
        <w:t xml:space="preserve">2. </w:t>
      </w:r>
      <w:r>
        <w:rPr>
          <w:rFonts w:ascii="Calibri" w:hAnsi="Calibri"/>
          <w:b w:val="0"/>
          <w:color w:val="3A4A28"/>
          <w:sz w:val="20"/>
        </w:rPr>
        <w:t>CAI 2.0 enterprise agentic AI platform — first in Canadian banking — scaling across the organization with 100+ production AI use cases could generate significant annual efficiency savings and establish a durable competitive moat in digital banking [2]</w:t>
      </w:r>
    </w:p>
    <w:p>
      <w:pPr>
        <w:spacing w:before="40" w:after="40"/>
        <w:ind w:left="283"/>
      </w:pPr>
      <w:r>
        <w:rPr>
          <w:rFonts w:ascii="Calibri" w:hAnsi="Calibri"/>
          <w:b/>
          <w:color w:val="4A6B25"/>
          <w:sz w:val="20"/>
        </w:rPr>
        <w:t xml:space="preserve">3. </w:t>
      </w:r>
      <w:r>
        <w:rPr>
          <w:rFonts w:ascii="Calibri" w:hAnsi="Calibri"/>
          <w:b w:val="0"/>
          <w:color w:val="3A4A28"/>
          <w:sz w:val="20"/>
        </w:rPr>
        <w:t>Caribbean divestiture closing H1 2027 adds 24 basis points to CET1 capital ratio, freeing US$1.6B for enhanced capital return or strategic reinvestment in higher-growth core North American operations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Canadian residential real estate concentration — approximately 50% loan book exposure to Canadian mortgages creates disproportionate credit loss risk if housing prices decline 15-20% under sustained elevated interest rates</w:t>
      </w:r>
    </w:p>
    <w:p>
      <w:pPr>
        <w:spacing w:before="40" w:after="40"/>
        <w:ind w:left="283"/>
      </w:pPr>
      <w:r>
        <w:rPr>
          <w:rFonts w:ascii="Calibri" w:hAnsi="Calibri"/>
          <w:b/>
          <w:color w:val="4A6B25"/>
          <w:sz w:val="20"/>
        </w:rPr>
        <w:t xml:space="preserve">2. </w:t>
      </w:r>
      <w:r>
        <w:rPr>
          <w:rFonts w:ascii="Calibri" w:hAnsi="Calibri"/>
          <w:b w:val="0"/>
          <w:color w:val="3A4A28"/>
          <w:sz w:val="20"/>
        </w:rPr>
        <w:t>CEO transition execution risk as Harry Culham implements organizational restructuring 10 months into his tenure, with senior executive changes potentially disrupting the momentum that produced nine consecutive quarters of double-digit EPS growth [3]</w:t>
      </w:r>
    </w:p>
    <w:p>
      <w:pPr>
        <w:spacing w:before="40" w:after="40"/>
        <w:ind w:left="283"/>
      </w:pPr>
      <w:r>
        <w:rPr>
          <w:rFonts w:ascii="Calibri" w:hAnsi="Calibri"/>
          <w:b/>
          <w:color w:val="4A6B25"/>
          <w:sz w:val="20"/>
        </w:rPr>
        <w:t xml:space="preserve">3. </w:t>
      </w:r>
      <w:r>
        <w:rPr>
          <w:rFonts w:ascii="Calibri" w:hAnsi="Calibri"/>
          <w:b w:val="0"/>
          <w:color w:val="3A4A28"/>
          <w:sz w:val="20"/>
        </w:rPr>
        <w:t>Fintech and open banking regulations gradually eroding the deposit market share moat, particularly among younger demographics who increasingly prefer digital-first platforms over traditional banking relationships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CIBC's core banking business — mortgages, commercial lending, wealth management, capital markets — is protected by heavy regulation (OSFI, OCC), Canada's Big Five oligopoly structure (~85% of banking assets), physical branch infrastructure, and deep client switching costs [1]. While fintech and AI-native lending platforms pose moderate substitution risk in personal banking and robo-advisors challenge traditional wealth advisory, these threats are contained by regulatory barriers and the complexity of full-service banking relationships. Analysts are not flagging AI as a material disruption risk to CIBC. AI Opportunity (1/1): CIBC launched CAI 2.0 in July 2026 as the first enterprise-wide agentic AI workspace in Canadian banking, building on 100+ production AI use cases that contributed to nine consecutive quarters of positive operating leverage [2]. The Microsoft-partnered platform demonstrates measurable efficiency gains from AI deployment, including document processing accuracy improvement from ~35% to ~95%.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CIBC Q1-Q3 FY2026 Earnings Results — Q3 revenue CA$7.80B (+17% YoY), Q1 record revenue $8.4B (+15%), nine consecutive quarters of double-digit EPS growth, adjusted net income up 26% Q3 — SEC Form 6-K, GuruFocus, Bloomberg, 2026</w:t>
      </w:r>
    </w:p>
    <w:p>
      <w:pPr>
        <w:spacing w:before="20" w:after="20"/>
        <w:ind w:left="170"/>
      </w:pPr>
      <w:r>
        <w:rPr>
          <w:rFonts w:ascii="Calibri" w:hAnsi="Calibri"/>
          <w:b/>
          <w:color w:val="4A6B25"/>
          <w:sz w:val="15"/>
        </w:rPr>
        <w:t xml:space="preserve">2. </w:t>
      </w:r>
      <w:r>
        <w:rPr>
          <w:rFonts w:ascii="Calibri" w:hAnsi="Calibri"/>
          <w:b w:val="0"/>
          <w:color w:val="3A4A28"/>
          <w:sz w:val="17"/>
        </w:rPr>
        <w:t>CIBC Enterprise AI Strategy — CAI 2.0 Agentic AI Launch July 2026, Microsoft Customer Story January 2026, 100+ Production AI Use Cases, CIO/CTO Richard Jardim technology pillars</w:t>
      </w:r>
    </w:p>
    <w:p>
      <w:pPr>
        <w:spacing w:before="20" w:after="20"/>
        <w:ind w:left="170"/>
      </w:pPr>
      <w:r>
        <w:rPr>
          <w:rFonts w:ascii="Calibri" w:hAnsi="Calibri"/>
          <w:b/>
          <w:color w:val="4A6B25"/>
          <w:sz w:val="15"/>
        </w:rPr>
        <w:t xml:space="preserve">3. </w:t>
      </w:r>
      <w:r>
        <w:rPr>
          <w:rFonts w:ascii="Calibri" w:hAnsi="Calibri"/>
          <w:b w:val="0"/>
          <w:color w:val="3A4A28"/>
          <w:sz w:val="17"/>
        </w:rPr>
        <w:t>CIBC Corporate Governance and Leadership — CEO Harry Culham Appointment November 2025, Executive Changes May 2026, Purpose Statement, Insider Activity, CHRO Yvonne Dimitroff Culture Focus</w:t>
      </w:r>
    </w:p>
    <w:p>
      <w:pPr>
        <w:spacing w:before="20" w:after="20"/>
        <w:ind w:left="170"/>
      </w:pPr>
      <w:r>
        <w:rPr>
          <w:rFonts w:ascii="Calibri" w:hAnsi="Calibri"/>
          <w:b/>
          <w:color w:val="4A6B25"/>
          <w:sz w:val="15"/>
        </w:rPr>
        <w:t xml:space="preserve">4. </w:t>
      </w:r>
      <w:r>
        <w:rPr>
          <w:rFonts w:ascii="Calibri" w:hAnsi="Calibri"/>
          <w:b w:val="0"/>
          <w:color w:val="3A4A28"/>
          <w:sz w:val="17"/>
        </w:rPr>
        <w:t>CIBC 2024 Sustainability Report — C$66.5M Community Investment, CIBC Run for the Cure, Team Next Generation,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CM Key Statistics: Forward P/E 13.81x, ROE 15.58%, Profit Margin 33.74%, Dividend Yield 2.78%, Stock Price $111.42,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