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CNEY</w:t>
      </w:r>
      <w:r>
        <w:rPr>
          <w:rFonts w:ascii="Calibri" w:hAnsi="Calibri"/>
          <w:b/>
          <w:color w:val="1A2010"/>
          <w:sz w:val="40"/>
        </w:rPr>
        <w:t xml:space="preserve">  CN Energy Group Inc.</w:t>
      </w:r>
    </w:p>
    <w:p>
      <w:pPr>
        <w:spacing w:after="120"/>
      </w:pPr>
      <w:r>
        <w:rPr>
          <w:rFonts w:ascii="Calibri" w:hAnsi="Calibri"/>
          <w:b/>
          <w:color w:val="6E8450"/>
          <w:sz w:val="18"/>
        </w:rPr>
        <w:t>GROWTH SLEEVE · 2026-09-10 · Inspire: 67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Specialty Chemicals · NASDAQ · China</w:t>
      </w:r>
    </w:p>
    <w:p>
      <w:pPr>
        <w:spacing w:after="80"/>
      </w:pPr>
      <w:r>
        <w:rPr>
          <w:rFonts w:ascii="Calibri" w:hAnsi="Calibri"/>
          <w:b w:val="0"/>
          <w:color w:val="3A4A28"/>
          <w:sz w:val="20"/>
        </w:rPr>
        <w:t>CN Energy Group Inc. manufactures and supplies wood-based activated carbon in China, with products used in pharmaceutical and industrial manufacturing, water purification, environmental protection, and food and beverage production. The company also generates biomass electricity and has expanded into robotics through its Pathenbot subsidiary and oil trading through a $2M acquisition of Blessing Logistics Ltd. in February 2026.</w:t>
      </w:r>
    </w:p>
    <w:p>
      <w:r>
        <w:rPr>
          <w:rFonts w:ascii="Calibri" w:hAnsi="Calibri"/>
          <w:b/>
          <w:color w:val="6E8450"/>
          <w:sz w:val="18"/>
        </w:rPr>
        <w:t>25 Employees · https://cneny.com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CN Energy's core activated carbon business has contracted — FY2025 revenue declined 30.2% YoY from $51.0M to $35.6M, and the company has posted three consecutive years of net losses totaling $30.8M [1]. No successful product launches have generated meaningful revenue recovery. AI Deployment (1/2): The Pathenbot subsidiary won the Best Investment-Ready Innovation Award at CES 2026 for its intelligent robotics platform integrating robotics, software, and AI for small/medium business automation [2]. However, this is a nascent unit with no disclosed revenue contribution. Market Share (0/2): CNEY is a micro-cap player ($2.7M market cap) in the fragmented Chinese activated carbon market with no leadership position and only 25 employees [1][3]. Pipeline (1/2): Pathenbot robotics platform (North American SME automation) and the $2M Blessing Logistics oil trading acquisition (February 2026) represent diversification attempts, but both are pre-revenue or immaterial with no specific revenue timelines [2][4]. R&amp;D Intensity (0/1): The company holds 14 patents for bioengineering technologies, but R&amp;D spending is negligible relative to revenue given the tiny operational scale.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CN Energy describes itself as following 'green, circular economy' principles — functionally descriptive but not aspirational or distinctive [1]. No compelling mission, vision, or purpose statement connects the company to a better future beyond manufacturing activated carbon. Community Impact (0/2): No evidence of charitable programs, community investment, or meaningful social impact. The company has only 25 employees, limiting community footprint [3]. Employee Retention (0/2): With only 25 employees and significant financial distress (three years of losses, Nasdaq delisting proceedings), retention prospects are concerning. CEO turnover from Steven Berman (appointed February 2024) to Wenhua Liu (interim CEO since May 2024) signals instability [2]. Insider Buying (1/2): Management maintains significant ownership stakes as founders, though specific recent insider purchase data is limited for this micro-cap Chinese company.</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CNEY's financial profile is severely distressed. Revenue declined 30.2% YoY to $35.6M in FY2025 with net losses of $11.1M (-31.3% profit margin) [1]. ROE is negative at -11.2%, scoring 0.0. Revenue growth is deeply negative at -30.2% YoY, scoring 0.0, and 5-year CAGR of approximately -4.0% also scores 0.0 [1][3]. The only positive metric is low D/E of 3.4%, scoring 1.0. No P/E or forward P/E available as the company is unprofitable with no analyst coverage. PEG unavailable. Market cap of just $2.7M reflects near-total loss of investor confidence, and Nasdaq has issued a delisting determination for failing the $1.00 minimum bid price [3]. LIQUIDITY FLOOR FAILED: stock price $1.01 x 253,000 avg daily volume = $255,530 daily — well below the $1,000,000 threshold. Infrastructure score forced to 0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CN Energy Group exhibits predominantly finite game characteristics — a micro-cap company ($2.7M market cap) fighting for survival rather than advancing a long-term vision. The scattershot pivots from activated carbon to robotics to oil trading read as desperate diversification driven by financial necessity. With only 25 employees, three years of losses, CEO turnover, and a Nasdaq delisting determination, the company is playing to survive this quarter, not to endure.</w:t>
      </w:r>
    </w:p>
    <w:p>
      <w:pPr>
        <w:spacing w:before="200" w:after="40"/>
      </w:pPr>
      <w:r>
        <w:rPr>
          <w:rFonts w:ascii="Calibri" w:hAnsi="Calibri"/>
          <w:b/>
          <w:color w:val="1A2010"/>
          <w:sz w:val="22"/>
        </w:rPr>
        <w:t>Just Cause</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No Just Cause is evident. CN Energy exists to manufacture activated carbon and generate revenue — there is no articulated vision of a better future beyond commercial operations [1]. The recent pivots into robotics (Pathenbot) and oil trading (Blessing Logistics acquisition) appear opportunistic rather than cause-driven, suggesting strategy changes based on whatever might generate revenue rather than an enduring purpose [2][4].</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With only 25 employees, significant financial distress, and CEO turnover (Berman appointed February 2024, replaced by interim CEO Liu in May 2024), organizational stability is extremely low [2][3]. No evidence of employee empowerment, cultural practices, or leadership continuity beyond interim founder control. The tiny team means departure of even a few key people could be existentially damaging.</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No evidence of CN Energy acknowledging competitors' strengths or using competitive dynamics for self-improvement. The activated carbon market has numerous larger competitors, but CNEY's public communications focus on its own products and award wins rather than competitive positioning or learning from rivals [1][2].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The pivots from activated carbon to biomass electricity, to Pathenbot robotics, and now to oil trading (Blessing Logistics) show willingness to explore adjacent and unrelated markets [2][4]. The CES 2026 award validates some technological capability. However, these pivots are driven by financial desperation (declining core revenue of -30% YoY) rather than a coherent strategic vision, and none have yet generated meaningful results.</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No evidence of courageous leadership. The company's trajectory — declining revenue, sustained losses, CEO turnover within months, and reactive diversification into unrelated businesses (oil trading) — suggests management is scrambling for survival rather than making principled long-term investments [1][3][4]. The Nasdaq delisting situation and $2.7M market cap indicate a company in extremis.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CN Energy Group's investment case rests entirely on optionality in a deeply distressed situation — a $2.7M market cap company with two speculative pivots: the Pathenbot intelligent robotics platform (CES 2026 award winner targeting North American SME automation) and a nascent oil trading business through the $2M Blessing Logistics acquisition [2][4]. The balance sheet carries minimal debt (D/E 3.4%), and the core activated carbon technology is backed by 14 patents with inherent sustainability alignment (forestry residue recycling). If either Pathenbot or oil trading gains traction, the depressed valuation provides extreme upside leverage.</w:t>
      </w:r>
    </w:p>
    <w:p>
      <w:pPr>
        <w:spacing w:after="120"/>
      </w:pPr>
      <w:r>
        <w:rPr>
          <w:rFonts w:ascii="Calibri" w:hAnsi="Calibri"/>
          <w:b w:val="0"/>
          <w:color w:val="3A4A28"/>
          <w:sz w:val="20"/>
        </w:rPr>
        <w:t>The bear case is overwhelming. CN Energy has posted three consecutive years of net losses totaling $30.8M on revenue that fell 30% YoY to $35.6M [1]. The company has only 25 employees, a $2.7M market cap, and faces Nasdaq delisting for failing the $1.00 minimum bid price — the stock trades at $1.01, recovering from its 52-week low of $0.31 but still well below the 52-week high of $3.09 [3]. Profit margin is -31.3%, CEO turnover within months (Berman to Liu), and the scattershot diversification from activated carbon to robotics to oil trading suggests no coherent strategy. Daily liquidity is only ~$256K — well below the $1M infrastructure floor. As a Chinese-domiciled Nasdaq-listed company, CNEY faces additional risks from U.S.-China regulatory tensions, PCAOB audit requirements, and potential VIE structure complications. There is no analyst coverage, no institutional ownership of note, and no clear path to profitability.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Pathenbot robotics platform gaining commercial traction in North America following the CES 2026 Best Investment-Ready Innovation Award, potentially creating a higher-margin AI/automation revenue stream [2]</w:t>
      </w:r>
    </w:p>
    <w:p>
      <w:pPr>
        <w:spacing w:before="40" w:after="40"/>
        <w:ind w:left="283"/>
      </w:pPr>
      <w:r>
        <w:rPr>
          <w:rFonts w:ascii="Calibri" w:hAnsi="Calibri"/>
          <w:b/>
          <w:color w:val="4A6B25"/>
          <w:sz w:val="20"/>
        </w:rPr>
        <w:t xml:space="preserve">2. </w:t>
      </w:r>
      <w:r>
        <w:rPr>
          <w:rFonts w:ascii="Calibri" w:hAnsi="Calibri"/>
          <w:b w:val="0"/>
          <w:color w:val="3A4A28"/>
          <w:sz w:val="20"/>
        </w:rPr>
        <w:t>Blessing Logistics oil trading acquisition (February 2026) generating revenue diversification beyond declining activated carbon business [4]</w:t>
      </w:r>
    </w:p>
    <w:p>
      <w:pPr>
        <w:spacing w:before="40" w:after="40"/>
        <w:ind w:left="283"/>
      </w:pPr>
      <w:r>
        <w:rPr>
          <w:rFonts w:ascii="Calibri" w:hAnsi="Calibri"/>
          <w:b/>
          <w:color w:val="4A6B25"/>
          <w:sz w:val="20"/>
        </w:rPr>
        <w:t xml:space="preserve">3. </w:t>
      </w:r>
      <w:r>
        <w:rPr>
          <w:rFonts w:ascii="Calibri" w:hAnsi="Calibri"/>
          <w:b w:val="0"/>
          <w:color w:val="3A4A28"/>
          <w:sz w:val="20"/>
        </w:rPr>
        <w:t>Regaining Nasdaq compliance through reverse stock split or organic price recovery, removing the existential overhang of delisting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Nasdaq delisting — stock below $1.00 minimum bid price with formal delisting determination, and failure to regain compliance would move shares to OTC markets, further destroying liquidity and institutional access [3]</w:t>
      </w:r>
    </w:p>
    <w:p>
      <w:pPr>
        <w:spacing w:before="40" w:after="40"/>
        <w:ind w:left="283"/>
      </w:pPr>
      <w:r>
        <w:rPr>
          <w:rFonts w:ascii="Calibri" w:hAnsi="Calibri"/>
          <w:b/>
          <w:color w:val="4A6B25"/>
          <w:sz w:val="20"/>
        </w:rPr>
        <w:t xml:space="preserve">2. </w:t>
      </w:r>
      <w:r>
        <w:rPr>
          <w:rFonts w:ascii="Calibri" w:hAnsi="Calibri"/>
          <w:b w:val="0"/>
          <w:color w:val="3A4A28"/>
          <w:sz w:val="20"/>
        </w:rPr>
        <w:t>Going concern viability — three years of cumulative losses ($30.8M), declining revenue (-30% YoY), only 25 employees, and a $2.7M market cap raise fundamental questions about ability to continue operating [1][3]</w:t>
      </w:r>
    </w:p>
    <w:p>
      <w:pPr>
        <w:spacing w:before="40" w:after="40"/>
        <w:ind w:left="283"/>
      </w:pPr>
      <w:r>
        <w:rPr>
          <w:rFonts w:ascii="Calibri" w:hAnsi="Calibri"/>
          <w:b/>
          <w:color w:val="4A6B25"/>
          <w:sz w:val="20"/>
        </w:rPr>
        <w:t xml:space="preserve">3. </w:t>
      </w:r>
      <w:r>
        <w:rPr>
          <w:rFonts w:ascii="Calibri" w:hAnsi="Calibri"/>
          <w:b w:val="0"/>
          <w:color w:val="3A4A28"/>
          <w:sz w:val="20"/>
        </w:rPr>
        <w:t>China-domiciled regulatory risk — PCAOB audit scrutiny, potential VIE structure complications, and U.S.-China geopolitical tensions create additional layers of uncertainty for this Nasdaq-listed Chinese company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CN Energy's core activated carbon manufacturing involves physical-world industrial processes — kiln operation, raw material sourcing, and chemical processing — that AI cannot directly displace [1]. The end markets (water purification, pharmaceutical manufacturing, environmental remediation) require physical products. However, the activated carbon market is a commodity with limited differentiation, and the company's tiny scale (25 employees, $35.6M declining revenue) provides no competitive moat against larger, AI-equipped competitors. AI Opportunity (1/1): The Pathenbot robotics subsidiary combines robotics, software, and AI for industrial automation, winning a CES 2026 innovation award [2]. While nascent and unquantified in revenue, this represents a genuine AI product offering.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CN Energy Group FY2025 Annual Report (ending September 2025) — revenue $35.6M (-30.2% YoY), net loss $11.1M, three consecutive years of losses</w:t>
      </w:r>
    </w:p>
    <w:p>
      <w:pPr>
        <w:spacing w:before="20" w:after="20"/>
        <w:ind w:left="170"/>
      </w:pPr>
      <w:r>
        <w:rPr>
          <w:rFonts w:ascii="Calibri" w:hAnsi="Calibri"/>
          <w:b/>
          <w:color w:val="4A6B25"/>
          <w:sz w:val="15"/>
        </w:rPr>
        <w:t xml:space="preserve">2. </w:t>
      </w:r>
      <w:r>
        <w:rPr>
          <w:rFonts w:ascii="Calibri" w:hAnsi="Calibri"/>
          <w:b w:val="0"/>
          <w:color w:val="3A4A28"/>
          <w:sz w:val="17"/>
        </w:rPr>
        <w:t>CN Energy Group / Pathenbot Press Releases — CES 2026 Best Investment-Ready Innovation Award, robotics platform launch, CEO appointments, 2024-2026</w:t>
      </w:r>
    </w:p>
    <w:p>
      <w:pPr>
        <w:spacing w:before="20" w:after="20"/>
        <w:ind w:left="170"/>
      </w:pPr>
      <w:r>
        <w:rPr>
          <w:rFonts w:ascii="Calibri" w:hAnsi="Calibri"/>
          <w:b/>
          <w:color w:val="4A6B25"/>
          <w:sz w:val="15"/>
        </w:rPr>
        <w:t xml:space="preserve">3. </w:t>
      </w:r>
      <w:r>
        <w:rPr>
          <w:rFonts w:ascii="Calibri" w:hAnsi="Calibri"/>
          <w:b w:val="0"/>
          <w:color w:val="3A4A28"/>
          <w:sz w:val="17"/>
        </w:rPr>
        <w:t>StockAnalysis.com / CNBC — CNEY stock price $1.01, market cap $2.7M, Nasdaq delisting determination, 25 employees,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CN Energy Group Press Release — Blessing Logistics Ltd. Share Purchase Agreement for $2M oil trading acquisition, February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