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CNK</w:t>
      </w:r>
      <w:r>
        <w:rPr>
          <w:rFonts w:ascii="Calibri" w:hAnsi="Calibri"/>
          <w:b/>
          <w:color w:val="1A2010"/>
          <w:sz w:val="40"/>
        </w:rPr>
        <w:t xml:space="preserve">  Cinemark Holdings, Inc.</w:t>
      </w:r>
    </w:p>
    <w:p>
      <w:pPr>
        <w:spacing w:after="120"/>
      </w:pPr>
      <w:r>
        <w:rPr>
          <w:rFonts w:ascii="Calibri" w:hAnsi="Calibri"/>
          <w:b/>
          <w:color w:val="6E8450"/>
          <w:sz w:val="18"/>
        </w:rPr>
        <w:t>GROWTH SLEEVE · 2026-09-05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Movie Theaters · NYSE · United States</w:t>
      </w:r>
    </w:p>
    <w:p>
      <w:pPr>
        <w:spacing w:after="80"/>
      </w:pPr>
      <w:r>
        <w:rPr>
          <w:rFonts w:ascii="Calibri" w:hAnsi="Calibri"/>
          <w:b w:val="0"/>
          <w:color w:val="3A4A28"/>
          <w:sz w:val="20"/>
        </w:rPr>
        <w:t>Cinemark Holdings is one of the largest motion picture exhibitors in the world, operating approximately 500 theatres with over 5,600 screens across the United States and Latin America (Brazil, Argentina, Chile, Colombia, Peru). The company operates premium Cinemark XD large-format auditoriums and has invested aggressively in enhanced concession offerings, luxury recliners, and loyalty programs. Third-largest U.S. theater chain by screen count. Q2 2026 delivered the first-ever $1B+ quarterly revenue ($1.086B) with record Adjusted EBITDA of $294M. Headquartered in Plano, Texas.</w:t>
      </w:r>
    </w:p>
    <w:p>
      <w:r>
        <w:rPr>
          <w:rFonts w:ascii="Calibri" w:hAnsi="Calibri"/>
          <w:b/>
          <w:color w:val="6E8450"/>
          <w:sz w:val="18"/>
        </w:rPr>
        <w:t>8,451 Employees · https://www.cinemark.com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Cinemark delivered its first-ever $1B+ quarterly revenue in Q2 2026 ($1.086B, +15.5% YoY) with record Adjusted EBITDA of $294M (+20% vs. prior record) and 27.1% EBITDA margin [1]. FY2025 achieved $3.1B revenue and $578M adjusted EBITDA — highest post-pandemic results [2]. The company has consistently outperformed North American box office industry benchmarks while sustaining market share gains of 150+ basis points versus pre-pandemic levels in both U.S. and Latin America, described as 'the most significant gains among major exhibitors' [2]. AI Deployment (0/2): No AI-powered products or quantified AI-driven cost savings. The company uses data analytics for pricing optimization and concession upselling, but these are standard industry practices rather than differentiated AI capabilities. Market Share (2/2): Cinemark outperformed the North American industry by 170 basis points in FY2025 and has sustained and expanded market share gains versus pre-pandemic levels by more than 150 bps in both U.S. and Latin America [2]. PLF screens (XD, IMAX, ScreenX, D-BOX) account for ~6% of total screens but generate ~15% of box office revenue, demonstrating premium format differentiation [1][2]. Product Pipeline (1/2): $250M capex planned for 2026 focused on premium format expansion, luxury recliner conversions, and enhanced concession offerings [2]. Record non-traditional content and enhanced format revenues. Specific investment program but incremental rather than transformative. R&amp;D Intensity (0/1): Movie theater operators do not conduct R&amp;D. Capex on theater renovations and premium format expansion is capital expenditure, not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Cinemark's purpose centers on creating 'extraordinary experiences through the magic of cinema' — identifying what the company does and connecting it to cultural value (shared communal storytelling), but not articulating a deeper purpose that differentiates from any other theater chain. AMC and Regal could state an identical mission. CEO Sean Gamble has been consistent about the experience mandate but it reads as operational focus rather than aspirational cause [1][2]. Community Impact (0/2): Movie theatres serve as community gathering spaces, but no significant standalone philanthropic, charitable, or social impact programs were identified. Resources are directed toward operational investment rather than community programs. Employee Retention (0/2): With 8,451 employees, primarily hourly theatre staff, no specific retention or turnover data is publicly available. CEO Sean Gamble was promoted from CFO (at Cinemark since 2014, 12+ years) demonstrating leadership continuity, but no broader workforce retention evidence exists. Insider Buying (0/2): No notable net insider buying activity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Cinemark's standout strength is exceptional ROE of 45.82% (well above the 15% target), driven by efficient capital utilization and amplified by operating leverage in the asset-heavy theater model [4]. Forward P/E of 15.60 is attractive, well below the 20x target and reflecting reasonable valuation for a company delivering record results [4]. Revenue growth of 15.5% YoY in Q2 2026 exceeds the 10% target, and the momentum is accelerating with a record $1.086B quarter [1]. The primary drag is D/E of 588% — well above the 300% floor (scoring 0) — reflecting $2.97B in debt including operating lease liabilities that are structural for the exhibition industry [4]. Profit margin of 6.38% is thin relative to the 20% target, though Q2 2026 EBITDA margin of 27.1% demonstrates strong operating profitability before interest, depreciation, and lease costs [1]. Free cash flow of $313M TTM is solid and supports the $250M capex program. Liquidity floor easily cleared at ~$92M daily notional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Cinemark under Sean Gamble demonstrates meaningful infinite game qualities through its survival and reinvention after the existential crisis of the pandemic. The company invested in premium formats and experience upgrades when the industry's survival was questioned, reflecting belief in the enduring value of theatrical exhibition. The decision to pursue market share gains through experience differentiation rather than mimicking AMC's financial engineering reflects infinite thinking. However, below-average employee satisfaction (Glassdoor 3.3/5), a purpose that is generic to the exhibition industry, and dependency on external content decisions create finite-game tensions.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Cinemark's purpose of creating extraordinary cinema experiences is real and has driven investment decisions (premium format expansion, enhanced F&amp;B, loyalty programs) through uncertain times [1][2]. However, the cause is not distinctive — every movie theater chain articulates a similar purpose, and the mission reads as operational focus ('be the best at what we do') rather than Sinek's definition of a Just Cause describing a future state worth sacrificing for. The entertainment-focused mission does not rise to the level of genuine purpose that differentiates from peers or inspires sacrifice beyond normal business operations.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Sean Gamble's internal promotion from CFO (at Cinemark since 2014) demonstrates leadership continuity and development [3]. The company navigated pandemic-era workforce challenges and has maintained stable operations with 8,451 employees. However, Glassdoor ratings of 3.3/5 stars — 10% below similar entertainment companies — suggest below-average employee satisfaction, and with a primarily hourly, part-time workforce, building deep organizational trust is structurally challenging [3]. No specific employee engagement metrics, cultural initiatives, or retention data were publicly reported.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Cinemark has used competitive dynamics productively rather than destructively. Rather than mimicking AMC's meme-stock-driven financial engineering, Cinemark focused on operational excellence and experience differentiation, using AMC as a counter-example of what not to do [2]. Rather than viewing streaming as an existential enemy, the company adapted to the hybrid model while demonstrating that theatrical exhibition adds unique value that streaming cannot replicate. The consistent outperformance of industry benchmarks by 170+ bps reflects competitive learning oriented toward self-improvement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Cinemark meaningfully evolved its business model post-pandemic: expanding premium formats (XD, IMAX) from a small share of screens to a major revenue contributor (~15% of box office on ~6% of screens), investing in luxury recliner conversions, developing non-traditional content programming, and driving record concession per capita through strategic menu and pricing innovation [1][2]. The company also adapted its Latin American portfolio. However, the core business model — physical theatres showing films — has not fundamentally changed, limiting the degree of transformation compared to Sinek's canonical examples.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$250M in capex during 2026 when the industry's long-term future is debated demonstrates confidence in the theatrical model [2]. Cinemark maintained its commitment to experience upgrades and premium formats through the pandemic recovery when cost-cutting would have been safer. The focus on operational excellence over financial engineering (contrast with AMC) reflects disciplined leadership. However, the investments represent optimization of an existing model rather than transformative bets on fundamentally new business 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Cinemark is the operationally strongest U.S. theatre chain, delivering its first-ever $1B+ quarterly revenue ($1.086B, +15.5% YoY) in Q2 2026 with record Adjusted EBITDA of $294M (27.1% margin, 20% above the prior record) driven by best-ever performance across box office, premium formats, concessions, and loyalty [1]. FY2025 achieved $3.1B revenue, $578M adjusted EBITDA (18.6% margin), and $138M net income [2]. ROE of 45.82% is exceptional, forward P/E of 15.60 is attractive relative to the 15.5% revenue growth trajectory, and $313M in TTM free cash flow funds the $250M capex program [4]. Market share gains of 150+ bps versus pre-pandemic levels in both U.S. and Latin America — the most significant among major exhibitors — demonstrate sustainable competitive advantage. The premium format strategy (PLF screens generating 15% of revenue on 6% of screens) and record concession per capita prove the experience differentiation thesis.</w:t>
      </w:r>
    </w:p>
    <w:p>
      <w:pPr>
        <w:spacing w:after="120"/>
      </w:pPr>
      <w:r>
        <w:rPr>
          <w:rFonts w:ascii="Calibri" w:hAnsi="Calibri"/>
          <w:b w:val="0"/>
          <w:color w:val="3A4A28"/>
          <w:sz w:val="20"/>
        </w:rPr>
        <w:t>The structural concern is content dependency: Cinemark's results are driven by the Hollywood film slate, and a weak content year (like 2023's strike-impacted period) can compress revenue 15-20% regardless of operational execution [2]. D/E of 588% reflects both financial debt ($2.97B) and operating lease liabilities, creating leverage that amplifies both upside and downside — and the $507.6M cash position provides limited cushion relative to the debt load [4]. GAAP profit margin of 6.38% is thin, and Q1 2026 produced a net loss despite the overall positive trend, highlighting the earnings volatility inherent in seasonal exhibition [2]. The Inspiration score of 2/10 and Innovation score of 5/10 reflect that Cinemark is executing a known business model exceptionally well rather than building something genuinely new or purpose-driven. While streaming proved complementary, gradual improvement in home entertainment technology and potential AI disruption of content creation could slowly erode the theatrical premium. The Inspire Impact Score of 51 (ALIGNED) is favorable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Q2 2026 momentum ($1.086B revenue, $294M EBITDA) carrying into a loaded H2 2026 and 2027 film slate with major franchise releases that should sustain above-trend box office and further market share gains [1]</w:t>
      </w:r>
    </w:p>
    <w:p>
      <w:pPr>
        <w:spacing w:before="40" w:after="40"/>
        <w:ind w:left="283"/>
      </w:pPr>
      <w:r>
        <w:rPr>
          <w:rFonts w:ascii="Calibri" w:hAnsi="Calibri"/>
          <w:b/>
          <w:color w:val="4A6B25"/>
          <w:sz w:val="20"/>
        </w:rPr>
        <w:t xml:space="preserve">2. </w:t>
      </w:r>
      <w:r>
        <w:rPr>
          <w:rFonts w:ascii="Calibri" w:hAnsi="Calibri"/>
          <w:b w:val="0"/>
          <w:color w:val="3A4A28"/>
          <w:sz w:val="20"/>
        </w:rPr>
        <w:t>Premium format expansion and concession per capita growth continuing to drive revenue per screen and per patron higher, with PLF screens delivering 2.5x the per-screen revenue of standard auditoriums [1][2]</w:t>
      </w:r>
    </w:p>
    <w:p>
      <w:pPr>
        <w:spacing w:before="40" w:after="40"/>
        <w:ind w:left="283"/>
      </w:pPr>
      <w:r>
        <w:rPr>
          <w:rFonts w:ascii="Calibri" w:hAnsi="Calibri"/>
          <w:b/>
          <w:color w:val="4A6B25"/>
          <w:sz w:val="20"/>
        </w:rPr>
        <w:t xml:space="preserve">3. </w:t>
      </w:r>
      <w:r>
        <w:rPr>
          <w:rFonts w:ascii="Calibri" w:hAnsi="Calibri"/>
          <w:b w:val="0"/>
          <w:color w:val="3A4A28"/>
          <w:sz w:val="20"/>
        </w:rPr>
        <w:t>Free cash flow of $313M TTM enabling simultaneous debt reduction, capex investment ($250M in 2026), and potential dividend growth from the current modest $0.36 annual payout (0.98% yield)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Content dependency means a weak film slate year could compress revenue 15-20% regardless of operational execution — Cinemark has no control over Hollywood production schedules, studio theatrical commitment, or potential future strike disruptions [2]</w:t>
      </w:r>
    </w:p>
    <w:p>
      <w:pPr>
        <w:spacing w:before="40" w:after="40"/>
        <w:ind w:left="283"/>
      </w:pPr>
      <w:r>
        <w:rPr>
          <w:rFonts w:ascii="Calibri" w:hAnsi="Calibri"/>
          <w:b/>
          <w:color w:val="4A6B25"/>
          <w:sz w:val="20"/>
        </w:rPr>
        <w:t xml:space="preserve">2. </w:t>
      </w:r>
      <w:r>
        <w:rPr>
          <w:rFonts w:ascii="Calibri" w:hAnsi="Calibri"/>
          <w:b w:val="0"/>
          <w:color w:val="3A4A28"/>
          <w:sz w:val="20"/>
        </w:rPr>
        <w:t>D/E of 588% with $2.97B in debt creates meaningful leverage risk if revenue declines cyclically, and GAAP profit margin of 6.38% leaves minimal cushion against attendance drops or concession pricing resistance [4]</w:t>
      </w:r>
    </w:p>
    <w:p>
      <w:pPr>
        <w:spacing w:before="40" w:after="40"/>
        <w:ind w:left="283"/>
      </w:pPr>
      <w:r>
        <w:rPr>
          <w:rFonts w:ascii="Calibri" w:hAnsi="Calibri"/>
          <w:b/>
          <w:color w:val="4A6B25"/>
          <w:sz w:val="20"/>
        </w:rPr>
        <w:t xml:space="preserve">3. </w:t>
      </w:r>
      <w:r>
        <w:rPr>
          <w:rFonts w:ascii="Calibri" w:hAnsi="Calibri"/>
          <w:b w:val="0"/>
          <w:color w:val="3A4A28"/>
          <w:sz w:val="20"/>
        </w:rPr>
        <w:t>Long-term erosion of theatrical premium from improving home entertainment technology, AI-generated content potentially changing the theatrical content pipeline, and the structural challenge of building deep organizational culture with a primarily hourly workforce (Glassdoor 3.3/5)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Cinemark's core business — providing communal, immersive cinematic experiences in physical theatres — is inherently AI-resistant. AI cannot replicate the social experience of watching a film on a 70-foot XD screen with Dolby Atmos sound in a shared audience environment [1][2]. Theatrical exhibition is an 'experience economy' business where the venue itself is the product, creating structural protection against digital substitution. Streaming proved complementary rather than existential — Hollywood has reaffirmed the theatrical window, and Cinemark's record Q2 2026 results ($1.086B revenue) validate enduring consumer demand [1]. Premium formats and enhanced concessions further differentiate the in-theatre experience from any home alternative. The modest AI risk comes from potential disruption of content supply: AI-generated content could either increase film output (positive for exhibitors) or reduce quality/differentiation of theatrical releases. Additionally, AI improvements in home entertainment technology could slowly erode the theatre's experiential premium over time. AI Opportunity (0/1): AI offers operational efficiency gains (dynamic pricing, personalized marketing, concession optimization), but these are incremental improvements rather than revenue-generating AI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Cinemark Q2 2026 Record Results — First-Ever $1B+ Quarter: Revenue $1.086B (+15.5%), Net Income $139.4M, EPS $1.19, Record Adj EBITDA $294M (27.1% Margin), August 2026</w:t>
      </w:r>
    </w:p>
    <w:p>
      <w:pPr>
        <w:spacing w:before="20" w:after="20"/>
        <w:ind w:left="170"/>
      </w:pPr>
      <w:r>
        <w:rPr>
          <w:rFonts w:ascii="Calibri" w:hAnsi="Calibri"/>
          <w:b/>
          <w:color w:val="4A6B25"/>
          <w:sz w:val="15"/>
        </w:rPr>
        <w:t xml:space="preserve">2. </w:t>
      </w:r>
      <w:r>
        <w:rPr>
          <w:rFonts w:ascii="Calibri" w:hAnsi="Calibri"/>
          <w:b w:val="0"/>
          <w:color w:val="3A4A28"/>
          <w:sz w:val="17"/>
        </w:rPr>
        <w:t>Cinemark FY2025 Full-Year Results — Revenue $3.1B, Net Income $138M, EPS $1.04, Adj EBITDA $578M (18.6% Margin), Market Share Gains 150+ bps, $250M 2026 Capex — February 2026</w:t>
      </w:r>
    </w:p>
    <w:p>
      <w:pPr>
        <w:spacing w:before="20" w:after="20"/>
        <w:ind w:left="170"/>
      </w:pPr>
      <w:r>
        <w:rPr>
          <w:rFonts w:ascii="Calibri" w:hAnsi="Calibri"/>
          <w:b/>
          <w:color w:val="4A6B25"/>
          <w:sz w:val="15"/>
        </w:rPr>
        <w:t xml:space="preserve">3. </w:t>
      </w:r>
      <w:r>
        <w:rPr>
          <w:rFonts w:ascii="Calibri" w:hAnsi="Calibri"/>
          <w:b w:val="0"/>
          <w:color w:val="3A4A28"/>
          <w:sz w:val="17"/>
        </w:rPr>
        <w:t>Cinemark Leadership &amp; Culture — CEO Sean Gamble (at Cinemark since 2014, CEO since 2022), Glassdoor 3.3/5 Stars (10% Below Industry), Cinemark IR &amp; Glassdoor,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CNK Key Statistics: Forward P/E 15.60, ROE 45.82%, D/E 588%, Profit Margin 6.38%, Stock Price $36.73, FCF $313M TTM,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