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CNP</w:t>
      </w:r>
      <w:r>
        <w:rPr>
          <w:rFonts w:ascii="Calibri" w:hAnsi="Calibri"/>
          <w:b/>
          <w:color w:val="1A2010"/>
          <w:sz w:val="40"/>
        </w:rPr>
        <w:t xml:space="preserve">  CenterPoint Energy, Inc.</w:t>
      </w:r>
    </w:p>
    <w:p>
      <w:pPr>
        <w:spacing w:after="120"/>
      </w:pPr>
      <w:r>
        <w:rPr>
          <w:rFonts w:ascii="Calibri" w:hAnsi="Calibri"/>
          <w:b/>
          <w:color w:val="6E8450"/>
          <w:sz w:val="18"/>
        </w:rPr>
        <w:t>DIVIDEND SLEEVE · 2026-10-19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CenterPoint Energy operates as a regulated utility holding company providing electric transmission and distribution, natural gas distribution, and electric generation services across Houston, Indiana, Minnesota, Ohio, and Texas. The company serves approximately 2.86 million metered customers and operates 355 substations with 81,692 MVA transformer capacity [4]. Q2 2026 revenue rose 10.7% YoY to approximately $2.15B with EPS of $0.40, beating consensus of $0.37 [1]. Founded in 1866, headquartered in Houston, Texas.</w:t>
      </w:r>
    </w:p>
    <w:p>
      <w:r>
        <w:rPr>
          <w:rFonts w:ascii="Calibri" w:hAnsi="Calibri"/>
          <w:b/>
          <w:color w:val="6E8450"/>
          <w:sz w:val="18"/>
        </w:rPr>
        <w:t>8,794 Employees · https://www.centerpointenergy.com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CenterPoint expanded its electric generation assets in Indiana and launched the Greater Houston Resiliency Initiative after Hurricane Beryl, and increased its 10-year capital investment plan by $1.2B to $66.7B driven by Houston-area large-load (data center) demand [4]. These represent capital allocation shifts within the existing regulated utility model, not business model innovation. AI Deployment (0/2): No evidence of AI-powered products or quantified AI-driven cost savings in earnings materials, investor presentations, or public commentary. Market Share (1/2): CenterPoint holds a regulated monopoly in its service territories across Greater Houston, southern Indiana, and parts of Minnesota, Ohio, and Texas, serving 2.86M metered customers — dominant by concession, not by competitive advantage. Product Pipeline (0/2): The $66.7B 10-year capex plan provides capital expenditure visibility but consists entirely of infrastructure spending (grid hardening, capacity expansion, generation assets), not new products or technology platforms [4]. R&amp;D Intensity (0/1): No published R&amp;D spending; regulated utilities invest negligible amounts in R&amp;D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CenterPoint's stated purpose centers on delivering safe, reliable, and affordable energy — a functional utility obligation interchangeable with any regulated electric or gas utility in the country. There is no distinctive vision or deeper purpose beyond competent service delivery. Community Impact (1/2): The Greater Houston Resiliency Initiative launched after Hurricane Beryl demonstrates reactive community investment, but the initiative was driven by legislative pressure and public backlash over power outage response rather than proactive philanthropy [3]. Employee Retention (0/2): CEO Jason Wells publicly acknowledged CenterPoint has 'a lot of work to do to re-earn customers' trust' after Hurricane Beryl, suggesting organizational reputational damage [3]. No specific employee retention data or average tenure figures are publicly available. Insider Buying (0/2): No evidence of meaningful net insider buying by CEO Wells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CenterPoint's D/E of 210.3% is elevated but within the scoring range (score 0.39), reflecting typical utility capital structure with $24.6B total debt [5]. ROE of 9.8% falls between the 0% floor and 15% target (score 0.66), while revenue growth of 10.7% YoY meets the 10% target (score 1.0), driven by tariff adjustments and Houston-area load growth [1]. The 3-year revenue CAGR of approximately 0.1% ($9.32B to $9.36B from 2022-2025) reflects flat revenue during the 2023-2024 period (score 0.34). Forward P/E of 19.4 is just under the 20 target (score 1.0), and profit margin of 11.6% scores moderately (score 0.58) [5]. The payout ratio of 53.3% is above the 40% target but below the 100% floor (score 0.78), with 64+ consecutive years of dividend payments (score 1.0, 2x weight) dating to at least 1962. CenterPoint has grown dividends 4 consecutive years (2022-2025) after the 2020-2021 cuts (score 0.40), with a 5-year dividend CAGR of approximately 3.5% (score 0.58, 2x weight). Daily dollar volume of $259M provides strong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CenterPoint Energy's response to Hurricane Beryl — widely criticized for inadequate preparation, poor communication, and insufficient tree trimming despite $917M in profits — reveals a utility that had been optimizing for quarterly returns rather than long-term infrastructure resilience. The subsequent Texas AG investigation and legislative scrutiny demonstrate that the company's finite game caught up to it. The post-Beryl resiliency initiative and capex increase show some learning, but the damage to public trust and regulatory relationships reflects the cost of playing a finite game in an industry that demands infinite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CenterPoint's purpose of delivering safe and reliable energy is a concession obligation, not a self-chosen cause that inspires sacrifice or transcends the business model. The company exists to fulfill regulated service requirements, and its strategic plan is defined by capex investment and rate recovery rather than a vision of a better future [4]. The post-Beryl acknowledgment that the company needs to 're-earn trust' implicitly concedes that the prior operating philosophy prioritized returns over resilient service delivery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Hurricane Beryl crisis exposed operational failures that resulted in millions of power outages and associated fatalities, leading to a Texas AG investigation and legislative scrutiny [3]. CEO Wells' acknowledgment that CenterPoint must 're-earn customers' trust' signals that external trust is damaged, and organizations under active regulatory investigation and political pressure typically face internal anxiety about accountability and job security. Leadership transitions (Dave Lesar to Jason Wells in January 2024) during a period of crisis create additional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CenterPoint faces no direct competitive pressure in its service territories. The company's public language focuses on regulatory compliance, infrastructure investment, and customer service recovery rather than competitive improvement. No evidence of management referencing peer utilities'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CenterPoint has evolved from a pure natural gas distribution utility to an integrated electric and gas utility with electric generation assets in Indiana, adapting its business mix as the energy landscape shifted [4]. The recent strategic pivot toward large-load (data center) demand and grid resiliency investment represents meaningful adaptation. However, these are incremental evolutions within the regulated utility model, not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After the Hurricane Beryl crisis, CenterPoint launched the Greater Houston Resiliency Initiative and increased the 10-year capital plan by $1.2B to $66.7B, showing willingness to increase investment after being publicly confronted with the consequences of underinvestment [3][4]. However, this was reactive to crisis and political pressure, not proactive courage. The Texas AG investigation and legislative hearings revealed that the company had not invested sufficiently in tree trimming and grid hardening before Beryl — suggesting prior leadership optimized for near-term returns rather than long-term resilience.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CenterPoint Energy at $40.55 offers a defensive regulated utility play with a 2.37% dividend yield, 64+ consecutive years of payments, and exposure to the AI-driven electricity demand supercycle through Houston-area data center load growth [4][5]. The $66.7B 10-year capital investment plan provides long-term earnings visibility through regulated rate base growth, and Q2 2026 revenue grew 10.7% YoY with EPS of $0.40 beating consensus by $0.03 [1]. Management's 2026 EPS guidance midpoint of $1.90 implies 8% growth over 2025 delivered results, with the forward P/E of 19.4x reasonable for a regulated utility with data center demand tailwinds. The low beta of 0.46 provides portfolio stability, and 4 consecutive years of dividend growth (2022-2025) signal recovery from the 2020-2021 cuts [5].</w:t>
      </w:r>
    </w:p>
    <w:p>
      <w:pPr>
        <w:spacing w:after="120"/>
      </w:pPr>
      <w:r>
        <w:rPr>
          <w:rFonts w:ascii="Calibri" w:hAnsi="Calibri"/>
          <w:b w:val="0"/>
          <w:color w:val="3A4A28"/>
          <w:sz w:val="20"/>
        </w:rPr>
        <w:t>The bear case centers on regulatory risk, governance concerns, and capital structure leverage. The Texas AG investigation into CenterPoint's conduct during Hurricane Beryl remains unresolved, and ongoing legislative proposals could impose costly grid hardening mandates or penalties that reduce earned returns on equity [3]. The D/E ratio of 210% and $24.6B total debt against only $453M cash create a capital structure that is vulnerable to rising interest rates and limits financial flexibility for the $66.7B capex plan, which requires continuous capital market access. The 5-year revenue CAGR of just 0.1% reveals the utility's fundamentally low-growth nature — the 10.7% Q2 2026 YoY growth is driven by tariff adjustments and weather rather than structural demand acceleration. The 53% payout ratio leaves modest room for dividend growth, and the 3.5% 5-year dividend CAGR barely exceeds inflation after the 2020-2021 cuts reduced the base [5]. Negative free cash flow of -$5.2B reflects the massive capex program consuming all operating cash flow and then some.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Houston-area AI data center demand driving $1.2B increase in 10-year capital plan to $66.7B, expanding the regulated rate base and supporting 8%+ EPS growth through infrastructure investment recovery [4]</w:t>
      </w:r>
    </w:p>
    <w:p>
      <w:pPr>
        <w:spacing w:before="40" w:after="40"/>
        <w:ind w:left="283"/>
      </w:pPr>
      <w:r>
        <w:rPr>
          <w:rFonts w:ascii="Calibri" w:hAnsi="Calibri"/>
          <w:b/>
          <w:color w:val="4A6B25"/>
          <w:sz w:val="20"/>
        </w:rPr>
        <w:t xml:space="preserve">2. </w:t>
      </w:r>
      <w:r>
        <w:rPr>
          <w:rFonts w:ascii="Calibri" w:hAnsi="Calibri"/>
          <w:b w:val="0"/>
          <w:color w:val="3A4A28"/>
          <w:sz w:val="20"/>
        </w:rPr>
        <w:t>2026 EPS guidance of $1.89-$1.91 implying 8% growth over 2025, with Q2 2026 already beating consensus by $0.03 at $0.40 per share on 10.7% revenue growth [1]</w:t>
      </w:r>
    </w:p>
    <w:p>
      <w:pPr>
        <w:spacing w:before="40" w:after="40"/>
        <w:ind w:left="283"/>
      </w:pPr>
      <w:r>
        <w:rPr>
          <w:rFonts w:ascii="Calibri" w:hAnsi="Calibri"/>
          <w:b/>
          <w:color w:val="4A6B25"/>
          <w:sz w:val="20"/>
        </w:rPr>
        <w:t xml:space="preserve">3. </w:t>
      </w:r>
      <w:r>
        <w:rPr>
          <w:rFonts w:ascii="Calibri" w:hAnsi="Calibri"/>
          <w:b w:val="0"/>
          <w:color w:val="3A4A28"/>
          <w:sz w:val="20"/>
        </w:rPr>
        <w:t>64+ consecutive years of dividend payments with 4 years of consecutive growth post-2021 cut, positioning for continued dividend increases as earnings grow and payout ratio moderates from 53%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Texas Attorney General investigation into Hurricane Beryl response remains unresolved, with potential for penalties, mandated infrastructure spending, or regulatory restrictions that could reduce earned returns and increase costs [3]</w:t>
      </w:r>
    </w:p>
    <w:p>
      <w:pPr>
        <w:spacing w:before="40" w:after="40"/>
        <w:ind w:left="283"/>
      </w:pPr>
      <w:r>
        <w:rPr>
          <w:rFonts w:ascii="Calibri" w:hAnsi="Calibri"/>
          <w:b/>
          <w:color w:val="4A6B25"/>
          <w:sz w:val="20"/>
        </w:rPr>
        <w:t xml:space="preserve">2. </w:t>
      </w:r>
      <w:r>
        <w:rPr>
          <w:rFonts w:ascii="Calibri" w:hAnsi="Calibri"/>
          <w:b w:val="0"/>
          <w:color w:val="3A4A28"/>
          <w:sz w:val="20"/>
        </w:rPr>
        <w:t>Capital structure leverage at 210% D/E with $24.6B debt against $453M cash requires continuous capital market access to fund the $66.7B capex plan — rising interest rates would increase financing costs and compress ROE below the already-modest 9.8% [5]</w:t>
      </w:r>
    </w:p>
    <w:p>
      <w:pPr>
        <w:spacing w:before="40" w:after="40"/>
        <w:ind w:left="283"/>
      </w:pPr>
      <w:r>
        <w:rPr>
          <w:rFonts w:ascii="Calibri" w:hAnsi="Calibri"/>
          <w:b/>
          <w:color w:val="4A6B25"/>
          <w:sz w:val="20"/>
        </w:rPr>
        <w:t xml:space="preserve">3. </w:t>
      </w:r>
      <w:r>
        <w:rPr>
          <w:rFonts w:ascii="Calibri" w:hAnsi="Calibri"/>
          <w:b w:val="0"/>
          <w:color w:val="3A4A28"/>
          <w:sz w:val="20"/>
        </w:rPr>
        <w:t>Fundamentally low-growth utility with 0.1% 5-year revenue CAGR — current 10.7% YoY growth driven by tariff adjustments is episodic, and the 53% payout ratio and negative FCF of -$5.2B limit shareholder return acceleration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CenterPoint operates physical electricity transmission, distribution, natural gas pipelines, and electric generation assets under regulated monopoly concessions — business model components that AI structurally cannot displace. Utilities require tangible infrastructure (substations, power lines, generation plants), regulatory approval processes, and local physical presence that no software can substitute. More importantly, AI data center proliferation is a direct demand driver — CenterPoint specifically cited Houston-area large-load demand (including data centers) as a key catalyst for increasing its 10-year capital plan by $1.2B to $66.7B [4]. Electric utilities are net beneficiaries of the AI infrastructure buildout. AI Opportunity (0/1): CenterPoint generates no direct revenue from AI products or services. The company is a supplier of electricity to AI infrastructure, not a provider of AI solutions. While AI-driven electricity demand benefits CenterPoint indirectly, this constitutes demand growth for the core product rather than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CenterPoint Energy Q2 2026 Earnings — Revenue ~$2.15B (+10.7% YoY), EPS $0.40 (vs. $0.37 consensus), OpenCapital/EarningsWhispers July 2026</w:t>
      </w:r>
    </w:p>
    <w:p>
      <w:pPr>
        <w:spacing w:before="20" w:after="20"/>
        <w:ind w:left="170"/>
      </w:pPr>
      <w:r>
        <w:rPr>
          <w:rFonts w:ascii="Calibri" w:hAnsi="Calibri"/>
          <w:b/>
          <w:color w:val="4A6B25"/>
          <w:sz w:val="15"/>
        </w:rPr>
        <w:t xml:space="preserve">2. </w:t>
      </w:r>
      <w:r>
        <w:rPr>
          <w:rFonts w:ascii="Calibri" w:hAnsi="Calibri"/>
          <w:b w:val="0"/>
          <w:color w:val="3A4A28"/>
          <w:sz w:val="17"/>
        </w:rPr>
        <w:t>CenterPoint Energy FY2025 Results — Revenue $9.36B (+8.3% YoY), EPS Guidance $1.89-$1.91 for 2026, StockAnalysis 2026</w:t>
      </w:r>
    </w:p>
    <w:p>
      <w:pPr>
        <w:spacing w:before="20" w:after="20"/>
        <w:ind w:left="170"/>
      </w:pPr>
      <w:r>
        <w:rPr>
          <w:rFonts w:ascii="Calibri" w:hAnsi="Calibri"/>
          <w:b/>
          <w:color w:val="4A6B25"/>
          <w:sz w:val="15"/>
        </w:rPr>
        <w:t xml:space="preserve">3. </w:t>
      </w:r>
      <w:r>
        <w:rPr>
          <w:rFonts w:ascii="Calibri" w:hAnsi="Calibri"/>
          <w:b w:val="0"/>
          <w:color w:val="3A4A28"/>
          <w:sz w:val="17"/>
        </w:rPr>
        <w:t>Texas Attorney General Investigation of CenterPoint Hurricane Beryl Response — Power Outage Failures, Legislative Scrutiny, Colorado Politics/Hoodline August 2024</w:t>
      </w:r>
    </w:p>
    <w:p>
      <w:pPr>
        <w:spacing w:before="20" w:after="20"/>
        <w:ind w:left="170"/>
      </w:pPr>
      <w:r>
        <w:rPr>
          <w:rFonts w:ascii="Calibri" w:hAnsi="Calibri"/>
          <w:b/>
          <w:color w:val="4A6B25"/>
          <w:sz w:val="15"/>
        </w:rPr>
        <w:t xml:space="preserve">4. </w:t>
      </w:r>
      <w:r>
        <w:rPr>
          <w:rFonts w:ascii="Calibri" w:hAnsi="Calibri"/>
          <w:b w:val="0"/>
          <w:color w:val="3A4A28"/>
          <w:sz w:val="17"/>
        </w:rPr>
        <w:t>CenterPoint Energy 10-Year Capital Plan Increased to $66.7B — Houston Data Center Demand Driver, Simply Wall St/Company Announcement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CNP Key Statistics, Market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