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CNTX</w:t>
      </w:r>
      <w:r>
        <w:rPr>
          <w:rFonts w:ascii="Calibri" w:hAnsi="Calibri"/>
          <w:b/>
          <w:color w:val="1A2010"/>
          <w:sz w:val="40"/>
        </w:rPr>
        <w:t xml:space="preserve">  Context Therapeutics Inc.</w:t>
      </w:r>
    </w:p>
    <w:p>
      <w:pPr>
        <w:spacing w:after="120"/>
      </w:pPr>
      <w:r>
        <w:rPr>
          <w:rFonts w:ascii="Calibri" w:hAnsi="Calibri"/>
          <w:b/>
          <w:color w:val="6E8450"/>
          <w:sz w:val="18"/>
        </w:rPr>
        <w:t>GROWTH SLEEVE · 2026-09-18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Context Therapeutics is a clinical-stage biopharmaceutical company focused on developing next-generation T-cell engaging (TCE) bispecific antibody therapies for solid tumors. The pipeline includes CTIM-76 (Claudin-6 x CD3) in Phase 1a for ovarian and endometrial cancers, and CT-202 (Nectin-4 x CD3) advancing toward clinical development. The company discontinued CT-95 (Mesothelin x CD3) as part of portfolio prioritization in Q2 2026, concentrating resources on two lead programs with initial clinical readouts expected beginning Q2 2027. Co-founded by CEO Martin Lehr. Cash of $43.0M as of June 30, 2026 provides runway into Q4 2027. Headquartered in Philadelphia, Pennsylvania.</w:t>
      </w:r>
    </w:p>
    <w:p>
      <w:r>
        <w:rPr>
          <w:rFonts w:ascii="Calibri" w:hAnsi="Calibri"/>
          <w:b/>
          <w:color w:val="6E8450"/>
          <w:sz w:val="18"/>
        </w:rPr>
        <w:t>15 Employees · https://www.contexttherapeutics.com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Context pivoted from its original hormone-dependent cancer focus (onapristone program) to a TCE bispecific antibody platform, which was a meaningful scientific reorientation [2]. However, the company remains pre-revenue after 11 years since founding, has no approved products, and recently discontinued CT-95 as part of portfolio prioritization, narrowing from three clinical programs to two [1]. AI Deployment (0/2): No AI deployment or AI-driven drug discovery tools reported in any public materials. Clinical development follows traditional biopharmaceutical approaches without AI integration [2]. Market Share (0/2): Pre-revenue clinical-stage company with no market share in any therapeutic category. The TCE bispecific space is fiercely competitive with Amgen (BiTE platform), Roche, and multiple well-capitalized biotechs pursuing similar targets [2]. Pipeline (1/2): Two remaining clinical candidates with defined timelines — CTIM-76 reported interim Phase 1a data in Q2 2026 for platinum-resistant ovarian cancer, and CT-202 advances toward first-in-human dosing. Initial clinical readouts expected beginning Q2 2027 [1]. However, the discontinuation of CT-95 reduced pipeline breadth and extended key readout timelines from 2026 to 2027. R&amp;D Intensity (1/1): Essentially 100% of expenditure goes to R&amp;D for this pre-revenue clinical-stage company. Q1 2026 net loss of $8.7M (up 89% YoY) reflects aggressive investment in advancing clinical programs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Martin Lehr's stated mission to 'change the world for patients with advanced cancer through bold and innovative science' is clear and specific, identifying both the approach (TCE bispecifics) and the target population (solid tumor patients) [2]. Lehr co-founded the company and is described as understated, 'letting his actions tell the story of his character,' suggesting authenticity. However, the mission reads as a standard biotech objective rather than a transformative vision that shapes competitive advantage. Community Impact (0/2): No evidence of charitable programs, foundation, or community investment for this 15-person pre-revenue company focused entirely on clinical development. Employee Retention (0/2): With only 15 employees, no retention data, turnover rates, or cultural practices are publicly disclosed. The company is too small to generate meaningful retention statistics [2]. Insider Buying (0/2): No evidence of meaningful net insider buying by CEO Martin Lehr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 daily volume of 2,462,358 shares × stock price of $0.38 = $935,696, falling below the $1,000,000 liquidity floor required for IOWN tradability [4]. Infrastructure score is automatically set to 0 regardless of other metrics. For reference, the balance sheet remains clean with D/E of 0.6% ($245K total debt against $42.4M stockholders' equity). ROE has deepened to -76.1% reflecting accelerating cash burn — net loss was $8.7M in Q1 2026 versus $4.6M in Q1 2025 [3]. Cash of $43.0M as of June 30, 2026 (down from $66.0M at year-end 2025) provides runway into Q4 2027 [1]. The stock has declined 89% from its 52-week high of $3.62 to $0.38.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Context Therapeutics is a young, pre-revenue clinical-stage company whose existence is fundamentally tied to binary clinical trial outcomes. The company's recent portfolio prioritization — discontinuing CT-95 to focus on CTIM-76 and CT-202 — demonstrates pragmatic resource management but also underscores the finite nature of the game: a company with 15 employees, $43M cash, and no revenue is playing for specific data readouts, not building an enduring organization [1]. Sinek would note this is the structural reality of clinical-stage biotech — not a character flaw, but not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Fighting cancer through novel immunotherapy approaches is a genuine and important cause, and Context's mission to 'change the world for patients with advanced cancer' is sincere [2]. However, the company has not yet validated this purpose through execution — no product approved, no patient treated outside clinical trials, and the mission has not been tested through adversity or leadership transition. The discontinuation of CT-95 shows pragmatic decision-making but also the fragility of the cause when constrained by capital.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15 employees, no public data on employee satisfaction, turnover, or organizational culture was found [2]. The widening Q1 2026 net loss ($8.7M vs $4.6M) and rapid cash burn ($66M to $43M in 6 months) suggest the team operates under significant resource pressure. The company is too small to generate meaningful cultural data for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motivation for improvement. The TCE bispecific space includes formidable rivals — Amgen's BiTE platform, Roche's bispecifics, and well-funded biotechs pursuing Claudin-6 and Nectin-4 targets — but Context's competitive positioning focuses on its own differentiated molecules rather than learning from worthy rivals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Context pivoted from its original focus on hormone-dependent cancers (onapristone/Sigma1 inhibitor program) to a TCE bispecific antibody platform, fundamentally redefining its scientific approach and target populations [2]. The Q2 2026 decision to discontinue CT-95 and focus resources on CTIM-76 and CT-202 further demonstrates willingness to abandon programs in service of the highest-probability science, though driven by capital constraints as much as strategic vision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showed courage in discontinuing CT-95 to concentrate limited resources on CTIM-76 and CT-202, a difficult but rational capital allocation decision for a 15-person company with $43M cash [1]. Accelerating R&amp;D spending (Q1 2026 net loss up 89% to $8.7M) while simultaneously advancing two clinical programs on a finite runway demonstrates conviction [3]. However, the decisions are driven by necessity (limited capital) as much as strategic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Context Therapeutics offers high-risk, high-reward exposure to the rapidly expanding TCE bispecific antibody space for solid tumors. The company has two clinical programs with defined catalysts: CTIM-76 Phase 1a interim data was reported in Q2 2026 for platinum-resistant ovarian cancer, and CT-202 advances toward first-in-human dosing, with initial clinical readouts expected beginning Q2 2027 [1]. Cash of $43.0M provides runway into Q4 2027, funding the company through key data readouts. At $35M market cap and $0.38/share — down 89% from its 52-week high of $3.62 — positive clinical data could drive significant revaluation. Analyst consensus Strong Buy with $4.25 target (1,017% upside) reflects the transformative potential of validating a TCE platform in hard-to-treat solid tumors [4].</w:t>
      </w:r>
    </w:p>
    <w:p>
      <w:pPr>
        <w:spacing w:after="120"/>
      </w:pPr>
      <w:r>
        <w:rPr>
          <w:rFonts w:ascii="Calibri" w:hAnsi="Calibri"/>
          <w:b w:val="0"/>
          <w:color w:val="3A4A28"/>
          <w:sz w:val="20"/>
        </w:rPr>
        <w:t>The bear case is the fundamental reality of pre-revenue clinical-stage biotech: binary risk with asymmetric downside. Context burned approximately $34M in the trailing twelve months with zero revenue and no path to profitability before 2030 at the earliest [3]. Cash has declined from $66M (year-end 2025) to $43M (June 30, 2026), consuming $23M in six months, and the Q4 2027 runway endpoint means the company will need to raise capital through severely dilutive equity offerings at a $35M market cap. The discontinuation of CT-95 narrowed the pipeline from three to two shots on goal while extending key readout timelines from 2026 to 2027. The stock now fails the IOWN liquidity floor ($936K daily dollar volume vs. $1M threshold), indicating insufficient trading liquidity for institutional investors [4]. The TCE bispecific space is fiercely competitive, with Amgen, Roche, and well-capitalized biotechs pursuing similar Claudin-6 and Nectin-4 targets with vastly greater resources, manufacturing scale, and clinical infrastructure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CTIM-76 Phase 1a clinical readout data expected Q2 2027 — positive Claudin-6 x CD3 efficacy and safety data in ovarian/endometrial cancers could validate the TCE platform and drive significant revaluation from the $35M market cap [1]</w:t>
      </w:r>
    </w:p>
    <w:p>
      <w:pPr>
        <w:spacing w:before="40" w:after="40"/>
        <w:ind w:left="283"/>
      </w:pPr>
      <w:r>
        <w:rPr>
          <w:rFonts w:ascii="Calibri" w:hAnsi="Calibri"/>
          <w:b/>
          <w:color w:val="4A6B25"/>
          <w:sz w:val="20"/>
        </w:rPr>
        <w:t xml:space="preserve">2. </w:t>
      </w:r>
      <w:r>
        <w:rPr>
          <w:rFonts w:ascii="Calibri" w:hAnsi="Calibri"/>
          <w:b w:val="0"/>
          <w:color w:val="3A4A28"/>
          <w:sz w:val="20"/>
        </w:rPr>
        <w:t>CT-202 advancement toward first-in-human dosing — Nectin-4 x CD3 clinical entry demonstrates execution capability and platform breadth with potential partnering interest from larger pharma companies [1]</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deal with larger pharma for CTIM-76 or CT-202 could provide non-dilutive funding and validate the platform at valuations significantly above the current market cap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negative Phase 1a data for CTIM-76 would devastate the stock given zero revenue, $0.38/share price, and entire valuation resting on pipeline potential in a fiercely competitive space [1]</w:t>
      </w:r>
    </w:p>
    <w:p>
      <w:pPr>
        <w:spacing w:before="40" w:after="40"/>
        <w:ind w:left="283"/>
      </w:pPr>
      <w:r>
        <w:rPr>
          <w:rFonts w:ascii="Calibri" w:hAnsi="Calibri"/>
          <w:b/>
          <w:color w:val="4A6B25"/>
          <w:sz w:val="20"/>
        </w:rPr>
        <w:t xml:space="preserve">2. </w:t>
      </w:r>
      <w:r>
        <w:rPr>
          <w:rFonts w:ascii="Calibri" w:hAnsi="Calibri"/>
          <w:b w:val="0"/>
          <w:color w:val="3A4A28"/>
          <w:sz w:val="20"/>
        </w:rPr>
        <w:t>Cash runway to Q4 2027 creates dilution or survival risk — the company will need to raise capital at potentially catastrophic prices given the $35M market cap, 89% YTD decline, and sub-$1 stock price [1][4]</w:t>
      </w:r>
    </w:p>
    <w:p>
      <w:pPr>
        <w:spacing w:before="40" w:after="40"/>
        <w:ind w:left="283"/>
      </w:pPr>
      <w:r>
        <w:rPr>
          <w:rFonts w:ascii="Calibri" w:hAnsi="Calibri"/>
          <w:b/>
          <w:color w:val="4A6B25"/>
          <w:sz w:val="20"/>
        </w:rPr>
        <w:t xml:space="preserve">3. </w:t>
      </w:r>
      <w:r>
        <w:rPr>
          <w:rFonts w:ascii="Calibri" w:hAnsi="Calibri"/>
          <w:b w:val="0"/>
          <w:color w:val="3A4A28"/>
          <w:sz w:val="20"/>
        </w:rPr>
        <w:t>Liquidity floor failure ($936K daily dollar volume) makes institutional investment impractical and increases price impact risk for any meaningful position sizing, creating a structural headwind to revaluation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Drug development for solid tumors involves complex biological processes — protein engineering, clinical trial design, FDA regulatory pathways, and GMP manufacturing of biological therapeutics — that AI cannot replace [2]. The physical reality of treating cancer patients through bispecific antibody infusions requires clinical infrastructure and regulatory expertise immune to AI substitution. However, AI-driven drug discovery platforms (Recursion, Insilico Medicine) are accelerating competitor pipelines by identifying novel targets and optimizing molecules faster, potentially eroding Context's competitive window. Larger pharma companies deploying AI for clinical trial optimization could reach similar Claudin-6 or Nectin-4 targets more efficiently with vastly greater resources [2]. AI Opportunity (0/1): No AI revenue or AI-powered drug discovery tools deployed. The 'search and development' model acquires externally discovered programs rather than using AI for target identification or molecule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Context Therapeutics Q2 2026 Operating and Pipeline Progress — Cash $43.0M, CT-95 Discontinued, CTIM-76 Phase 1a Interim Data, Portfolio Prioritization, August 2026</w:t>
      </w:r>
    </w:p>
    <w:p>
      <w:pPr>
        <w:spacing w:before="20" w:after="20"/>
        <w:ind w:left="170"/>
      </w:pPr>
      <w:r>
        <w:rPr>
          <w:rFonts w:ascii="Calibri" w:hAnsi="Calibri"/>
          <w:b/>
          <w:color w:val="4A6B25"/>
          <w:sz w:val="15"/>
        </w:rPr>
        <w:t xml:space="preserve">2. </w:t>
      </w:r>
      <w:r>
        <w:rPr>
          <w:rFonts w:ascii="Calibri" w:hAnsi="Calibri"/>
          <w:b w:val="0"/>
          <w:color w:val="3A4A28"/>
          <w:sz w:val="17"/>
        </w:rPr>
        <w:t>Context Therapeutics Corporate Website — CEO Martin Lehr, Mission Statement, Pipeline Description, Team Bios, 2026</w:t>
      </w:r>
    </w:p>
    <w:p>
      <w:pPr>
        <w:spacing w:before="20" w:after="20"/>
        <w:ind w:left="170"/>
      </w:pPr>
      <w:r>
        <w:rPr>
          <w:rFonts w:ascii="Calibri" w:hAnsi="Calibri"/>
          <w:b/>
          <w:color w:val="4A6B25"/>
          <w:sz w:val="15"/>
        </w:rPr>
        <w:t xml:space="preserve">3. </w:t>
      </w:r>
      <w:r>
        <w:rPr>
          <w:rFonts w:ascii="Calibri" w:hAnsi="Calibri"/>
          <w:b w:val="0"/>
          <w:color w:val="3A4A28"/>
          <w:sz w:val="17"/>
        </w:rPr>
        <w:t>Context Therapeutics Q1 2026 Operating and Financial Results — Net Loss $8.7M (up 89% YoY), Cash $56.0M, May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CNTX Key Statistics: Price $0.38, Market Cap $35M, Avg Volume 2.46M, Analyst Target $4.25,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