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COF</w:t>
      </w:r>
      <w:r>
        <w:rPr>
          <w:rFonts w:ascii="Calibri" w:hAnsi="Calibri"/>
          <w:b/>
          <w:color w:val="1A2010"/>
          <w:sz w:val="40"/>
        </w:rPr>
        <w:t xml:space="preserve">  Capital One Financial Corporation</w:t>
      </w:r>
    </w:p>
    <w:p>
      <w:pPr>
        <w:spacing w:after="120"/>
      </w:pPr>
      <w:r>
        <w:rPr>
          <w:rFonts w:ascii="Calibri" w:hAnsi="Calibri"/>
          <w:b/>
          <w:color w:val="6E8450"/>
          <w:sz w:val="18"/>
        </w:rPr>
        <w:t>GROWTH SLEEVE · 2026-10-19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States</w:t>
      </w:r>
    </w:p>
    <w:p>
      <w:pPr>
        <w:spacing w:after="80"/>
      </w:pPr>
      <w:r>
        <w:rPr>
          <w:rFonts w:ascii="Calibri" w:hAnsi="Calibri"/>
          <w:b w:val="0"/>
          <w:color w:val="3A4A28"/>
          <w:sz w:val="20"/>
        </w:rPr>
        <w:t>Capital One Financial operates as a diversified financial services holding company providing credit cards, consumer banking, and commercial banking in the United States, Canada, and the United Kingdom. The company completed its transformative $35B acquisition of Discover Financial Services in May 2025, gaining its own payment network, and acquired Brex in early 2026 [2]. Q2 2026 total net revenue was $15.9B with adjusted EPS of $5.81 beating consensus of $4.77, and domestic card revenue grew 30% YoY (9.5% excluding Discover) with the charge-off rate declining to 4.71% [1]. Founded in 1988, headquartered in McLean, Virginia.</w:t>
      </w:r>
    </w:p>
    <w:p>
      <w:r>
        <w:rPr>
          <w:rFonts w:ascii="Calibri" w:hAnsi="Calibri"/>
          <w:b/>
          <w:color w:val="6E8450"/>
          <w:sz w:val="18"/>
        </w:rPr>
        <w:t>78,400 Employees · https://www.capitalone.com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Capital One executed one of the most transformative acquisitions in financial services history with the $35B Discover purchase (closed May 2025), gaining its own payment network alongside Visa and Mastercard and fundamentally redefining the company's competitive position [2]. The subsequent Brex acquisition in early 2026 extended the platform into commercial fintech. Previously, Capital One completed a full migration to the public cloud — the first major US bank to do so — eliminating all on-premises data centers, a multi-year transformation that reduced technology costs and accelerated product development [3]. AI Deployment (1/2): Capital One's Eno AI personal assistant ships to millions of customers, providing real-time transaction alerts, spending insights, and fraud detection. CIO Rob Alexander drove early adoption of AI/ML across underwriting, fraud detection, and customer service, and the company leads the banking industry in GenAI use cases across card servicing [3]. However, no specific AI revenue or cost savings figures have been publicly quantified. Market Share (2/2): Capital One is the #3 US credit card issuer by purchase volume and, with the Discover acquisition, now owns one of only four major US payment networks, creating a vertically integrated model unique among card issuers [2]. Product Pipeline (1/2): The Discover integration is on track to deliver $2.5B in annual operating expense synergies, with approximately one-third of quarterly target already captured in Q2 2026 [1]. Brex integration extends the platform into commercial banking. Specific synergy timelines and financial targets provide quantified visibility. R&amp;D Intensity (1/1): Capital One is widely described as 'a technology company that happens to be a bank,' with above-average technology spending for a financial institution. Founder-CEO Richard Fairbank has stated 'banking is the most ripe industry for disruption,' driving sustained technology investment above industry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Capital One's stated purpose of 'changing banking for good' is clear and aspirational, identifying an industry to transform rather than merely a product to sell. Founder-CEO Richard Fairbank built the company from inception on the premise that data and technology could make banking better — a purpose that has shaped the company's 38-year strategy from its founding through the cloud migration and Discover acquisition [3]. However, the mission is two-dimensional (banking + technology) without a deeper societal purpose beyond industry improvement, and 'for good' is ambiguous. Community Impact (1/2): Capital One has joined RE100 committing to 100% renewable electricity and operates Capital One Cafes combining banking with community gathering spaces in underserved areas [3]. General corporate philanthropy programs exist but lack the distinctive, outsized commitment seen in higher-scoring companies. Employee Retention (1/2): Richard Fairbank's 38-year tenure as founder-CEO since 1988 provides exceptional leadership continuity unmatched in major US banking. The 78,400-employee organization has maintained strategic consistency through multiple economic cycles under single-leader vision [3]. However, no specific voluntary turnover or average tenure data is available to benchmark against peers. Insider Buying (0/2): No evidence of meaningful net insider buying by Fairbank or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excluded — unavailable for banks). Capital One's financial profile is exceptionally strong on valuation and growth metrics: forward P/E of 8.38 is deeply discounted vs. the 20 target (score 1.0), and the forward PEG of 0.18 is well below the 1.0 target (score 1.0, 2x weight), reflecting the market underpricing the Discover synergy earnings acceleration [1][5]. Profit margin of 21.9% exceeds the 20% target (score 1.0), and revenue grew approximately 37% annually from 2024 ($39.1B) to 2025 ($53.4B) including the Discover contribution (score 1.0, 1x weight). The 3-year revenue CAGR of approximately 16% from 2022 to 2025 exceeds the 10% target (score 1.0, 2x weight), driven significantly by the Discover acquisition [4]. The primary drag is ROE of 9.0%, below the 15% target (score 0.60, 2x weight), reflecting the dilutive impact of Discover acquisition goodwill on equity and integration costs that compress near-term returns. Daily dollar volume of $730M provides maximum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Capital One under founder-CEO Richard Fairbank exemplifies infinite game thinking through 38 years of consistent commitment to using technology to transform banking, validated by the audacious $35B Discover acquisition that fundamentally repositioned the company as a vertically integrated financial platform. Fairbank's willingness to make the largest fintech acquisition in history, complete a full cloud migration years ahead of peers, and continuously invest in AI/ML capabilities demonstrates a pattern of choosing long-term capability over short-term optimization. The company's competitive posture — acquiring Brex and Discover rather than defending against them — reflects a leader playing to keep playing, not to win this quarter.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Capital One's purpose of using technology and data to change banking has been validated by 38 years of consistent execution under founder-CEO Fairbank, who built the company from a small Virginia bank into a top-5 US card issuer through data-driven innovation [3]. The purpose is specific (technology transforms banking), connected to customer benefit (better products, lower costs, fairer access), and has survived multiple economic cycles (dot-com bust, 2008 financial crisis, COVID). Strategic decisions clearly trace to the cause: cloud migration, AI investment, Discover acquisition all serve the tech-first banking vision. Falls short of 3/3 because 'changing banking for good' is ultimately about industry improvement, not a transcendent societal purpose like healthcare access or poverty reduction.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Fairbank's 38-year tenure as founder-CEO provides unmatched strategic consistency, and the company's 'tech company that happens to be a bank' culture attracts technology talent who might otherwise work in Silicon Valley [3]. The 78,400-employee organization has maintained strategic coherence through credit cycles, regulatory challenges, and now the massive Discover integration. However, no specific data on voluntary turnover, employee engagement, or cultural trust practices is available to distinguish Capital One from banking peers, and the scale of the Discover integration (merging 30,000+ employees) creates inherent organizational turbulence.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Capital One's competitive strategy demonstrates an infinite mindset — rather than trying to destroy fintech rivals, Fairbank acquired them (Brex) and co-opted their strengths [2]. The decision to build a payment network by acquiring Discover rather than trying to compete against Visa and Mastercard from scratch reflects a mature understanding of competitive dynamics. Fairbank has publicly acknowledged that 'banking is the most ripe industry for disruption,' using competitive pressure as motivation to continuously reinvent rather than defend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Capital One has fundamentally reinvented itself multiple times: from a small Virginia bank to a data-driven credit card company (1990s), from a card-only issuer to a diversified bank through the ING Direct acquisition (2012), from on-premises technology to full cloud native (2020), and from a card issuer without a network to a vertically integrated payment platform through Discover (2025) [2][3]. Each transformation was driven by Fairbank's conviction that technology would reshape banking, not by desperation. The Discover acquisition in particular represents existential flexibility of the highest order — abandoning the pure card-issuer model to build a fundamentally different competitive position.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$35B Discover acquisition was the largest fintech M&amp;A deal in history, requiring regulatory approval through multiple agencies and fundamentally betting the company's future on vertical integration at a time when most banks were retrenching [2]. Completing the full cloud migration — eliminating all on-premises data centers as the first major US bank to do so — required years of sustained investment with significant execution risk and upfront cost for long-term capability [3]. Capital One invested heavily in AI/ML capabilities years before most banks recognized the technology's potential, and Fairbank has consistently prioritized technology investment even during credit cycle downturns when peers were cutting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Capital One at $201.74 is a uniquely positioned financial platform trading at a deeply discounted forward P/E of 8.38x and PEG of 0.18x, reflecting market skepticism about the Discover integration that the financial fundamentals are rapidly disproving [1][5]. Q2 2026 adjusted EPS of $5.81 (beating consensus by 22%) demonstrates the earnings power is materializing, with one-third of the $2.5B annual Discover synergy target already captured and domestic card revenue growing 30% YoY [1][2]. Founder-CEO Fairbank's 38-year track record of data-driven innovation — cloud migration, AI leadership, and now vertical integration via Discover — provides the longest-tenured, most consistent strategic vision in major US banking [3]. The charge-off rate declining to 4.71% (-54bps YoY) signals improving credit quality, and the $124B market cap with $201 book value per share at 1.2x P/B provides margin of safety relative to the transformative asset combination being assembled.</w:t>
      </w:r>
    </w:p>
    <w:p>
      <w:pPr>
        <w:spacing w:after="120"/>
      </w:pPr>
      <w:r>
        <w:rPr>
          <w:rFonts w:ascii="Calibri" w:hAnsi="Calibri"/>
          <w:b w:val="0"/>
          <w:color w:val="3A4A28"/>
          <w:sz w:val="20"/>
        </w:rPr>
        <w:t>The bear case centers on integration execution risk and credit cycle exposure. The Discover integration involves merging 30,000+ employees, two technology platforms, and a payment network into a unified operation — any M&amp;A of this scale carries significant execution risk, and the company has only captured one-third of quarterly synergy targets so far [2][4]. Capital One is inherently a consumer credit company, and the domestic card charge-off rate of 4.71%, while improving, remains elevated versus pre-pandemic levels, with a potential US recession or sustained unemployment increase threatening credit quality across the $150B+ combined loan book. The 1111% reported YoY revenue growth from yfinance reflects Discover consolidation distortion — organic domestic card revenue grew only 9.5% ex-acquisition, and when the acquisition anniversary normalizes comparisons, the underlying growth rate may disappoint market expectations [1]. ROE of 9.0% is suppressed by Discover goodwill dilution, and recovery to the 12-15% range depends on synergy execution and credit quality maintenance that are not yet proven. The stock is 23% below its all-time high, reflecting market concerns that are legitimate rather than merely sentimental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Discover synergy realization accelerating — one-third of $2.5B annual target already captured in Q2 2026, with operating expense efficiencies scaling through systems integration and headcount rationalization over the next 12-18 months [1][2]</w:t>
      </w:r>
    </w:p>
    <w:p>
      <w:pPr>
        <w:spacing w:before="40" w:after="40"/>
        <w:ind w:left="283"/>
      </w:pPr>
      <w:r>
        <w:rPr>
          <w:rFonts w:ascii="Calibri" w:hAnsi="Calibri"/>
          <w:b/>
          <w:color w:val="4A6B25"/>
          <w:sz w:val="20"/>
        </w:rPr>
        <w:t xml:space="preserve">2. </w:t>
      </w:r>
      <w:r>
        <w:rPr>
          <w:rFonts w:ascii="Calibri" w:hAnsi="Calibri"/>
          <w:b w:val="0"/>
          <w:color w:val="3A4A28"/>
          <w:sz w:val="20"/>
        </w:rPr>
        <w:t>Credit quality improving with domestic card charge-off rate declining to 4.71% (-54bps YoY, -39bps QoQ), supporting earnings expansion as provision expense normalizes from peak levels [1]</w:t>
      </w:r>
    </w:p>
    <w:p>
      <w:pPr>
        <w:spacing w:before="40" w:after="40"/>
        <w:ind w:left="283"/>
      </w:pPr>
      <w:r>
        <w:rPr>
          <w:rFonts w:ascii="Calibri" w:hAnsi="Calibri"/>
          <w:b/>
          <w:color w:val="4A6B25"/>
          <w:sz w:val="20"/>
        </w:rPr>
        <w:t xml:space="preserve">3. </w:t>
      </w:r>
      <w:r>
        <w:rPr>
          <w:rFonts w:ascii="Calibri" w:hAnsi="Calibri"/>
          <w:b w:val="0"/>
          <w:color w:val="3A4A28"/>
          <w:sz w:val="20"/>
        </w:rPr>
        <w:t>Forward P/E of 8.38x and PEG of 0.18x represent a deeply discounted valuation relative to the combined platform's earnings potential — consensus Q3 2026 EPS of $4.52 (+27% YoY) implies significant earnings momentum that the multiple has not yet reflected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Discover integration execution risk — merging 30,000+ employees, two technology platforms, and a payment network involves operational complexity that could delay synergy realization, disrupt customer experience, or generate unexpected costs [2][4]</w:t>
      </w:r>
    </w:p>
    <w:p>
      <w:pPr>
        <w:spacing w:before="40" w:after="40"/>
        <w:ind w:left="283"/>
      </w:pPr>
      <w:r>
        <w:rPr>
          <w:rFonts w:ascii="Calibri" w:hAnsi="Calibri"/>
          <w:b/>
          <w:color w:val="4A6B25"/>
          <w:sz w:val="20"/>
        </w:rPr>
        <w:t xml:space="preserve">2. </w:t>
      </w:r>
      <w:r>
        <w:rPr>
          <w:rFonts w:ascii="Calibri" w:hAnsi="Calibri"/>
          <w:b w:val="0"/>
          <w:color w:val="3A4A28"/>
          <w:sz w:val="20"/>
        </w:rPr>
        <w:t>Consumer credit cycle exposure with $150B+ combined loan book — a US recession or sustained unemployment increase would drive charge-offs significantly higher from the already-elevated 4.71% base rate, compressing earnings and potentially requiring reserve builds [1]</w:t>
      </w:r>
    </w:p>
    <w:p>
      <w:pPr>
        <w:spacing w:before="40" w:after="40"/>
        <w:ind w:left="283"/>
      </w:pPr>
      <w:r>
        <w:rPr>
          <w:rFonts w:ascii="Calibri" w:hAnsi="Calibri"/>
          <w:b/>
          <w:color w:val="4A6B25"/>
          <w:sz w:val="20"/>
        </w:rPr>
        <w:t xml:space="preserve">3. </w:t>
      </w:r>
      <w:r>
        <w:rPr>
          <w:rFonts w:ascii="Calibri" w:hAnsi="Calibri"/>
          <w:b w:val="0"/>
          <w:color w:val="3A4A28"/>
          <w:sz w:val="20"/>
        </w:rPr>
        <w:t>Organic growth may disappoint once acquisition distortion normalizes — domestic card revenue grew only 9.5% ex-Discover, and the headline 30% growth will anniversary down as Discover enters the base period, potentially revealing a more modest underlying growth trajectory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Capital One's core businesses — credit card lending, consumer banking, and commercial banking — are protected by regulatory moats (bank charter, FDIC insurance, capital adequacy requirements), massive proprietary data sets spanning decades of consumer credit behavior, and deep customer switching costs (direct deposit, auto-pay, credit history relationships). Credit card underwriting actually benefits from AI, as better models reduce charge-offs and improve risk selection. However, the financial services industry faces meaningful competitive pressure from fintech challengers using AI to disrupt traditional banking: neobanks (Chime, SoFi), BNPL providers (Affirm, Klarna), and digital wallets (Apple Pay, Google Pay) all leverage AI to compete for Capital One's consumer base [3]. The Discover payment network provides structural protection, but the core lending business remains exposed to AI-enabled fintech competition. AI Opportunity (1/1): Capital One's Eno AI assistant ships to millions of customers, the company leads banking peers in GenAI use cases across card servicing, and AI/ML is deeply embedded in underwriting, fraud detection, and customer service operations [3]. While no specific AI revenue figure is published, AI capabilities are integral to the company's competitive differentiation and revenue generation through improved credit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Capital One Q2 2026 Earnings Release — Total Net Revenue $15.9B, Adjusted EPS $5.81, Domestic Card Revenue +30% YoY (+9.5% ex-Discover), Charge-Off Rate 4.71%, SEC 8-K July 2026</w:t>
      </w:r>
    </w:p>
    <w:p>
      <w:pPr>
        <w:spacing w:before="20" w:after="20"/>
        <w:ind w:left="170"/>
      </w:pPr>
      <w:r>
        <w:rPr>
          <w:rFonts w:ascii="Calibri" w:hAnsi="Calibri"/>
          <w:b/>
          <w:color w:val="4A6B25"/>
          <w:sz w:val="15"/>
        </w:rPr>
        <w:t xml:space="preserve">2. </w:t>
      </w:r>
      <w:r>
        <w:rPr>
          <w:rFonts w:ascii="Calibri" w:hAnsi="Calibri"/>
          <w:b w:val="0"/>
          <w:color w:val="3A4A28"/>
          <w:sz w:val="17"/>
        </w:rPr>
        <w:t>Capital One Discover Integration Update — $2.5B Annual Synergy Target, One-Third Quarterly Capture, Brex Acquisition Closed April 2026, TIKR/MarketBeat Analysis 2026</w:t>
      </w:r>
    </w:p>
    <w:p>
      <w:pPr>
        <w:spacing w:before="20" w:after="20"/>
        <w:ind w:left="170"/>
      </w:pPr>
      <w:r>
        <w:rPr>
          <w:rFonts w:ascii="Calibri" w:hAnsi="Calibri"/>
          <w:b/>
          <w:color w:val="4A6B25"/>
          <w:sz w:val="15"/>
        </w:rPr>
        <w:t xml:space="preserve">3. </w:t>
      </w:r>
      <w:r>
        <w:rPr>
          <w:rFonts w:ascii="Calibri" w:hAnsi="Calibri"/>
          <w:b w:val="0"/>
          <w:color w:val="3A4A28"/>
          <w:sz w:val="17"/>
        </w:rPr>
        <w:t>Capital One Technology Leadership — CIO Rob Alexander Cloud Migration, AI/ML Early Adoption, Eno AI Assistant, CEO Fairbank 38-Year Tenure, Codeium/Fortune/Financial Brand 2024-2026</w:t>
      </w:r>
    </w:p>
    <w:p>
      <w:pPr>
        <w:spacing w:before="20" w:after="20"/>
        <w:ind w:left="170"/>
      </w:pPr>
      <w:r>
        <w:rPr>
          <w:rFonts w:ascii="Calibri" w:hAnsi="Calibri"/>
          <w:b/>
          <w:color w:val="4A6B25"/>
          <w:sz w:val="15"/>
        </w:rPr>
        <w:t xml:space="preserve">4. </w:t>
      </w:r>
      <w:r>
        <w:rPr>
          <w:rFonts w:ascii="Calibri" w:hAnsi="Calibri"/>
          <w:b w:val="0"/>
          <w:color w:val="3A4A28"/>
          <w:sz w:val="17"/>
        </w:rPr>
        <w:t>Capital One Valuation Analysis — Stock Down 23% From ATH, Discover Integration Financial Model, TIKR/Hudson Labs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COF Key Statistics, Market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