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COIN</w:t>
      </w:r>
      <w:r>
        <w:rPr>
          <w:rFonts w:ascii="Calibri" w:hAnsi="Calibri"/>
          <w:b/>
          <w:color w:val="1A2010"/>
          <w:sz w:val="40"/>
        </w:rPr>
        <w:t xml:space="preserve">  Coinbase Global, Inc.</w:t>
      </w:r>
    </w:p>
    <w:p>
      <w:pPr>
        <w:spacing w:after="120"/>
      </w:pPr>
      <w:r>
        <w:rPr>
          <w:rFonts w:ascii="Calibri" w:hAnsi="Calibri"/>
          <w:b/>
          <w:color w:val="6E8450"/>
          <w:sz w:val="18"/>
        </w:rPr>
        <w:t>GROWTH SLEEVE · 2026-10-21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Financial Data &amp; Stock Exchanges · NMS · United States</w:t>
      </w:r>
    </w:p>
    <w:p>
      <w:pPr>
        <w:spacing w:after="80"/>
      </w:pPr>
      <w:r>
        <w:rPr>
          <w:rFonts w:ascii="Calibri" w:hAnsi="Calibri"/>
          <w:b w:val="0"/>
          <w:color w:val="3A4A28"/>
          <w:sz w:val="20"/>
        </w:rPr>
        <w:t>Coinbase Global operates the leading regulated cryptocurrency exchange in the United States, providing trading, custody, staking, and brokerage services for consumers and institutions. The company also operates Base, an Ethereum Layer 2 blockchain, and partners on the USDC stablecoin. TTM revenue of approximately $6.0B declined from $7.2B in FY2025 as crypto trading volumes contracted, though subscription and services revenue ($555M in Q2 2026) and derivatives trading provided relative stability [1][2].</w:t>
      </w:r>
    </w:p>
    <w:p>
      <w:r>
        <w:rPr>
          <w:rFonts w:ascii="Calibri" w:hAnsi="Calibri"/>
          <w:b/>
          <w:color w:val="6E8450"/>
          <w:sz w:val="18"/>
        </w:rPr>
        <w:t>4,951 Employees · https://www.coinbase.com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Coinbase built the dominant U.S. regulated crypto exchange from a 2012 startup, became the first crypto-native company to IPO on Nasdaq (2021), and launched Base — an Ethereum L2 blockchain now processing millions of daily transactions [1]. Successfully expanded from retail trading into institutional prime brokerage (Coinbase Prime) and stablecoin infrastructure (USDC partnership with Circle). AI Deployment (0/2): No AI-powered products shipped to users at scale; internal adoption limited to GitHub Copilot and Cursor for engineering, with CEO Armstrong mandating onboarding under threat of termination [3]. Market Share (2/2): Commands approximately 20% of global centralized crypto exchange volume and dominates the U.S. regulated market; Coinbase Prime serves major institutional allocators, and Base L2 has attracted significant DeFi activity [1][2]. Pipeline (1/2): Derivatives platform growing rapidly, international expansion underway, and stablecoin revenue provides counter-cyclical diversification, but the core business remains tightly coupled to crypto market cycles [2]. R&amp;D Intensity (1/1): Technology and development spending represents approximately 18% of revenue, well above financial services industry norms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'Increase economic freedom around the world' is specific and measurable — Coinbase has extended crypto access to 100M+ verified users globally — but Armstrong's 2020 blog post declaring the company would avoid social and political causes signals a narrowly transactional interpretation of that mission [4]. The mission drives product decisions (self-custody wallets, Base open infrastructure) but lacks depth of purpose that inspires beyond financial utility. Community Impact (1/2): Base L2 provides open-source blockchain infrastructure enabling permissionless DeFi applications, and Coinbase has invested in crypto education and regulatory advocacy through Stand With Crypto [1]. However, crypto's broader social impact remains debated and no significant philanthropic initiatives are visible. Employee Retention (0/2): Armstrong fired engineers who did not adopt AI coding tools within one week, cut 14% of staff (approximately 700 employees) in May 2026, and flattened the org chart to maximum five layers with a 15:1 report ratio — actions that prioritize speed over team trust [3]. Insider Buying (1/2): No evidence of meaningful net insider purchases by Armstrong or senior leadership in the trailing 12 months; insider transactions are dominated by compensation-plan sales, though minimal activity is neutral given the founder's large existing stake.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Coinbase's financial profile reflects the severe crypto market downturn: ROE is deeply negative at -7.9% (score 0.0, 2x weight) with TTM net losses driven by Q1 2026 revenue declining 30% YoY to $1.4B and Q2 2026 falling 19% YoY to $1.2B [1][2]. Profit margin of -16.3% (score 0.0) reflects GAAP losses despite 14 consecutive quarters of positive adjusted EBITDA. Revenue growth YoY of -17.3% scores 0.09 against the -20% to +10% range, and the 5-year revenue CAGR of approximately -5.0% (from 2021's $7.8B peak) scores 0.0 (2x weight). Forward P/E of 57.5x (score 0.06) and PEG of 2.37 (score 0.32, 2x weight) reflect premium valuation relative to volatile earnings. D/E of 51.0% is the sole bright spot (score 1.0). Daily dollar volume of $1.57B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Coinbase operates with a clear long-term purpose in 'increasing economic freedom' and has demonstrated meaningful existential flexibility — pivoting from a pure retail exchange to a multi-product platform spanning institutional custody, stablecoins, L2 blockchain infrastructure, and derivatives. However, Armstrong's leadership style prioritizes speed and efficiency over team trust, as evidenced by abrupt AI-mandate firings and aggressive restructuring, creating tension between infinite aspirations and finite execution tactics.</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'Increase economic freedom around the world' is specific, forward-looking, and has driven consistent strategic decisions — launching self-custody wallets, building Base as open infrastructure, and advocating for regulatory clarity through Stand With Crypto [1][4]. However, Armstrong's explicit rejection of broader social engagement (2020 mission protocol declaring the company 'apolitical') narrows the cause's scope, and the mission's connection to financial speculation during bull markets weakens its inspirational credibility during downturns when retail users lose money.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May 2026 layoffs (14% of workforce, ~700 employees) and Armstrong's firing of engineers who didn't adopt AI tools within one week directly undermine the Circle of Safety that infinite game thinking requires [3]. The org chart flattening to 5 layers with 15:1 manager ratios creates efficiency but signals a management-by-metrics culture rather than trust-based leadership. Coinbase's remote-first culture and competitive crypto compensation support retention among top performers, but the pattern of abrupt restructuring creates job insecurity.</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Coinbase competes with Binance, Kraken, and decentralized exchanges, and has responded to competitive pressure by expanding into derivatives and international markets rather than retreating [2]. Armstrong acknowledged the need to compete with DeFi by building Base as an L2, showing willingness to learn from decentralized competitors. However, Armstrong's confrontational stance toward regulators and competitors (publicly battling the SEC) suggests a win-oriented rather than improvement-oriented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Coinbase has successfully reinvented itself multiple times: from pure retail exchange to institutional prime broker (Coinbase Prime), from exchange operator to blockchain builder (Base L2), from trading-dependent to recurring revenue (subscription and services grew to $555M quarterly in Q2 2026) [1][2]. The USDC stablecoin partnership and derivatives expansion demonstrate willingness to cannibalize core transaction fee revenue in favor of more durable business models. Each pivot maintained the 'economic freedom' through line while fundamentally restructuring the revenue mix.</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Armstrong made the bold decision to fight the SEC in court rather than settle, a years-long battle that ultimately contributed to regulatory clarity for the crypto industry [4]. Building Base L2 and investing in stablecoin infrastructure during the 2022-2023 crypto winter demonstrated conviction investing when the market was hostile. However, the aggressive AI-mandate firings and frequent restructurings suggest a leader who optimizes for short-term operational metrics over the patient, trust-building investments that define infinite game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Coinbase at $170.85 with a $45B market cap is the dominant regulated U.S. crypto exchange navigating a painful cyclical downturn — Q1 2026 revenue fell 30% YoY to $1.4B and Q2 declined 19% YoY to $1.2B as crypto trading volumes contracted sharply, though the company maintained positive adjusted EBITDA for 14 consecutive quarters ($208M in Q2 2026) [1][2]. The bull case rests on structural diversification: subscription and services revenue reached $555M in Q2 2026, Base L2 is building a new blockchain ecosystem, USDC stablecoin infrastructure generates recurring revenue, and derivatives trading is scaling rapidly. The regulatory moat — as the only publicly traded, SEC-registered U.S. exchange with 50-state money transmitter licenses — provides durable competitive advantage that neither AI nor DeFi can easily replicate [1].</w:t>
      </w:r>
    </w:p>
    <w:p>
      <w:pPr>
        <w:spacing w:after="120"/>
      </w:pPr>
      <w:r>
        <w:rPr>
          <w:rFonts w:ascii="Calibri" w:hAnsi="Calibri"/>
          <w:b w:val="0"/>
          <w:color w:val="3A4A28"/>
          <w:sz w:val="20"/>
        </w:rPr>
        <w:t>The bear case is severe: GAAP losses persist with trailing EPS of -$3.84, ROE is negative at -7.9%, and the forward P/E of 57.5x prices in a profitability recovery that depends entirely on crypto market conditions Coinbase does not control [1]. The 5-year revenue CAGR of -5.0% (from 2021's $7.8B bull-market peak) reveals the business's extreme cyclicality, and guided 2026 adjusted expenses of $4.3-4.6B leave minimal room for error if volumes remain depressed. Armstrong's aggressive restructuring — 14% layoffs, AI-mandate firings, org chart flattening — improves cost structure but risks talent attrition in a competitive tech labor market [3]. The crypto market's structural dependence on retail speculation and the potential for AI-enabled DeFi to disintermediate centralized exchanges represent long-term threats the company cannot fully hedge through diversification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Subscription and services revenue ($555M quarterly in Q2 2026) provides counter-cyclical stability and is growing as a percentage of total revenue, with stablecoin income, staking, and custody fees creating a recurring revenue base less dependent on trading volume [2]</w:t>
      </w:r>
    </w:p>
    <w:p>
      <w:pPr>
        <w:spacing w:before="40" w:after="40"/>
        <w:ind w:left="283"/>
      </w:pPr>
      <w:r>
        <w:rPr>
          <w:rFonts w:ascii="Calibri" w:hAnsi="Calibri"/>
          <w:b/>
          <w:color w:val="4A6B25"/>
          <w:sz w:val="20"/>
        </w:rPr>
        <w:t xml:space="preserve">2. </w:t>
      </w:r>
      <w:r>
        <w:rPr>
          <w:rFonts w:ascii="Calibri" w:hAnsi="Calibri"/>
          <w:b w:val="0"/>
          <w:color w:val="3A4A28"/>
          <w:sz w:val="20"/>
        </w:rPr>
        <w:t>Base L2 blockchain ecosystem expanding rapidly with millions of daily transactions and growing DeFi applications, creating a new platform revenue stream and positioning Coinbase as both exchange operator and blockchain infrastructure provider [1]</w:t>
      </w:r>
    </w:p>
    <w:p>
      <w:pPr>
        <w:spacing w:before="40" w:after="40"/>
        <w:ind w:left="283"/>
      </w:pPr>
      <w:r>
        <w:rPr>
          <w:rFonts w:ascii="Calibri" w:hAnsi="Calibri"/>
          <w:b/>
          <w:color w:val="4A6B25"/>
          <w:sz w:val="20"/>
        </w:rPr>
        <w:t xml:space="preserve">3. </w:t>
      </w:r>
      <w:r>
        <w:rPr>
          <w:rFonts w:ascii="Calibri" w:hAnsi="Calibri"/>
          <w:b w:val="0"/>
          <w:color w:val="3A4A28"/>
          <w:sz w:val="20"/>
        </w:rPr>
        <w:t>Crypto regulatory clarity improving post-SEC resolution and through Stand With Crypto advocacy, potentially enabling institutional adoption that would drive higher-quality, less cyclical trading volumes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remains extremely cyclical — TTM revenue of $6.0B is down from $7.2B in FY2025 and $7.8B in FY2021, with quarterly results swinging 30%+ based on crypto market sentiment Coinbase cannot control [1][2]</w:t>
      </w:r>
    </w:p>
    <w:p>
      <w:pPr>
        <w:spacing w:before="40" w:after="40"/>
        <w:ind w:left="283"/>
      </w:pPr>
      <w:r>
        <w:rPr>
          <w:rFonts w:ascii="Calibri" w:hAnsi="Calibri"/>
          <w:b/>
          <w:color w:val="4A6B25"/>
          <w:sz w:val="20"/>
        </w:rPr>
        <w:t xml:space="preserve">2. </w:t>
      </w:r>
      <w:r>
        <w:rPr>
          <w:rFonts w:ascii="Calibri" w:hAnsi="Calibri"/>
          <w:b w:val="0"/>
          <w:color w:val="3A4A28"/>
          <w:sz w:val="20"/>
        </w:rPr>
        <w:t>GAAP losses persist with trailing EPS of -$3.84 and ROE of -7.9%, and the forward P/E of 57.5x requires a profitability turnaround that assumes crypto volumes recover — a bet on macro conditions, not operational execution [1]</w:t>
      </w:r>
    </w:p>
    <w:p>
      <w:pPr>
        <w:spacing w:before="40" w:after="40"/>
        <w:ind w:left="283"/>
      </w:pPr>
      <w:r>
        <w:rPr>
          <w:rFonts w:ascii="Calibri" w:hAnsi="Calibri"/>
          <w:b/>
          <w:color w:val="4A6B25"/>
          <w:sz w:val="20"/>
        </w:rPr>
        <w:t xml:space="preserve">3. </w:t>
      </w:r>
      <w:r>
        <w:rPr>
          <w:rFonts w:ascii="Calibri" w:hAnsi="Calibri"/>
          <w:b w:val="0"/>
          <w:color w:val="3A4A28"/>
          <w:sz w:val="20"/>
        </w:rPr>
        <w:t>Aggressive workforce restructuring (14% cuts, AI-mandate firings, 15:1 manager ratios) risks institutional knowledge loss and talent attrition at a company where engineering quality directly determines platform security and reliability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Coinbase's core exchange infrastructure — custody of billions in assets, regulatory compliance (SEC-registered, state money transmitter licenses in 50 states), and institutional-grade liquidity pool — cannot be replicated by AI alone, creating structural protection [1]. The regulatory moat is particularly durable: being a publicly traded, audited, U.S.-regulated entity is a barrier AI startups cannot easily overcome. However, AI-powered trading bots could commoditize retail trading strategies and reduce the engagement-driven transaction fees that still comprise the majority of revenue, and AI-enabled DeFi protocols could gradually disintermediate centralized exchange functions [2]. Revenue remains highly cyclical and correlated to crypto market sentiment, a risk AI neither creates nor mitigates. AI Opportunity (1/1): Armstrong has aggressively pushed AI adoption internally — mandating Copilot/Cursor for all engineers, restructuring the org chart around AI-augmented 'player-coaches,' and targeting AI-native operations — positioning Coinbase to capture operational efficiency gains as the workforce shrinks 14% while maintaining output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Coinbase Q1 2026 Earnings — Revenue $1.4B (down 21% QoQ), Adjusted EBITDA $303M, 13th consecutive positive quarter — TIKR, Alpha Sense, May 2026</w:t>
      </w:r>
    </w:p>
    <w:p>
      <w:pPr>
        <w:spacing w:before="20" w:after="20"/>
        <w:ind w:left="170"/>
      </w:pPr>
      <w:r>
        <w:rPr>
          <w:rFonts w:ascii="Calibri" w:hAnsi="Calibri"/>
          <w:b/>
          <w:color w:val="4A6B25"/>
          <w:sz w:val="15"/>
        </w:rPr>
        <w:t xml:space="preserve">2. </w:t>
      </w:r>
      <w:r>
        <w:rPr>
          <w:rFonts w:ascii="Calibri" w:hAnsi="Calibri"/>
          <w:b w:val="0"/>
          <w:color w:val="3A4A28"/>
          <w:sz w:val="17"/>
        </w:rPr>
        <w:t>Coinbase Q2 2026 Earnings — Net Revenue $1.2B (down 14% QoQ, 19% YoY), Adjusted EBITDA $208M, Subscription &amp; Services $555M — Quartr, July 2026</w:t>
      </w:r>
    </w:p>
    <w:p>
      <w:pPr>
        <w:spacing w:before="20" w:after="20"/>
        <w:ind w:left="170"/>
      </w:pPr>
      <w:r>
        <w:rPr>
          <w:rFonts w:ascii="Calibri" w:hAnsi="Calibri"/>
          <w:b/>
          <w:color w:val="4A6B25"/>
          <w:sz w:val="15"/>
        </w:rPr>
        <w:t xml:space="preserve">3. </w:t>
      </w:r>
      <w:r>
        <w:rPr>
          <w:rFonts w:ascii="Calibri" w:hAnsi="Calibri"/>
          <w:b w:val="0"/>
          <w:color w:val="3A4A28"/>
          <w:sz w:val="17"/>
        </w:rPr>
        <w:t>Coinbase Layoffs and AI Restructuring — 14% workforce cut, CEO Armstrong mandated AI tools, fired non-adopters, flattened org chart — Fortune, Yahoo Finance, May 2026</w:t>
      </w:r>
    </w:p>
    <w:p>
      <w:pPr>
        <w:spacing w:before="20" w:after="20"/>
        <w:ind w:left="170"/>
      </w:pPr>
      <w:r>
        <w:rPr>
          <w:rFonts w:ascii="Calibri" w:hAnsi="Calibri"/>
          <w:b/>
          <w:color w:val="4A6B25"/>
          <w:sz w:val="15"/>
        </w:rPr>
        <w:t xml:space="preserve">4. </w:t>
      </w:r>
      <w:r>
        <w:rPr>
          <w:rFonts w:ascii="Calibri" w:hAnsi="Calibri"/>
          <w:b w:val="0"/>
          <w:color w:val="3A4A28"/>
          <w:sz w:val="17"/>
        </w:rPr>
        <w:t>Coinbase Corporate Governance and ESG — CEO 'apolitical mission' blog post (2020), SEC regulatory history, Stand With Crypto advocacy — The Block, SEC Filings, 2020-2026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