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COLD</w:t>
      </w:r>
      <w:r>
        <w:rPr>
          <w:rFonts w:ascii="Calibri" w:hAnsi="Calibri"/>
          <w:b/>
          <w:color w:val="1A2010"/>
          <w:sz w:val="40"/>
        </w:rPr>
        <w:t xml:space="preserve">  Americold Realty Trust, Inc.</w:t>
      </w:r>
    </w:p>
    <w:p>
      <w:pPr>
        <w:spacing w:after="120"/>
      </w:pPr>
      <w:r>
        <w:rPr>
          <w:rFonts w:ascii="Calibri" w:hAnsi="Calibri"/>
          <w:b/>
          <w:color w:val="6E8450"/>
          <w:sz w:val="18"/>
        </w:rPr>
        <w:t>DIVIDEND SLEEVE · 2026-10-19 · Inspire: 46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Industrial · NYSE · United States</w:t>
      </w:r>
    </w:p>
    <w:p>
      <w:pPr>
        <w:spacing w:after="80"/>
      </w:pPr>
      <w:r>
        <w:rPr>
          <w:rFonts w:ascii="Calibri" w:hAnsi="Calibri"/>
          <w:b w:val="0"/>
          <w:color w:val="3A4A28"/>
          <w:sz w:val="20"/>
        </w:rPr>
        <w:t>Americold is the largest publicly traded temperature-controlled warehouse REIT globally, operating 224 facilities across North America, Europe, Asia-Pacific, and South America totaling approximately 1.4 billion refrigerated cubic feet. The company reported Q1 2026 revenue of $629.9M (flat YoY) and Q2 2026 revenue of $662.9M, with FY2026 Core EBITDA guidance of $570M-$620M. Founded in 1903 and headquartered in Atlanta, Georgia, the company serves food producers, processors, distributors, and retailers with cold storage and transportation solutions.</w:t>
      </w:r>
    </w:p>
    <w:p>
      <w:r>
        <w:rPr>
          <w:rFonts w:ascii="Calibri" w:hAnsi="Calibri"/>
          <w:b/>
          <w:color w:val="6E8450"/>
          <w:sz w:val="18"/>
        </w:rPr>
        <w:t>12,690 Employees · https://www.americold.com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Americold has invested in technology modernization through Project Orion (ERP rollout) and deployed warehouse automation, but has not launched transformative new products or executed a meaningful business model pivot in the last five years — the core cold storage business looks structurally identical to five years ago [3]. AI Deployment (1/2): Management identified over 400 embedded and native AI opportunities through a proprietary discovery tool, and deployed an AI energy management system that monitors real-time grid conditions, predicts demand-response events, and pre-cools facilities to reduce electricity costs [3][5]. However, no AI-driven products ship to customers and no revenue or savings have been publicly quantified. Market Share (1/2): Americold is the #1 publicly traded temperature-controlled REIT by cubic footage, but privately held Lineage Logistics has comparable or larger scale, and competitors are investing heavily in automated storage and retrieval systems that could offer superior service at lower cost [3]. Product Pipeline (0/2): No specific next-generation products announced with timelines — innovation focus is operational (ERP migration, automation) rather than new service lines or market-creating offerings. R&amp;D Intensity (0/1): As a REIT, Americold does not report traditional R&amp;D spend; capital investment focuses on facility maintenance, expansion, and IT modernization rather than product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Americold's stated purpose — 'supporting the safe, efficient movement of food worldwide' — clearly identifies what the company does and for whom but does not articulate a deeper purpose or inspire beyond the obvious functional role in the food supply chain [4]. It is interchangeable with any temperature-controlled logistics provider. Community Impact (0/2): No evidence of significant charitable programs, foundation activities, or community investment beyond standard corporate sustainability reporting. The company reports to CDP on climate and has a board ESG Committee, but no distinctive community initiatives with measurable impact were found [4]. Employee Retention (0/2): CEO Robert Chambers was appointed September 2025 following George Chappelle's retirement, with the transition described as planned succession [5]. The FY2025 10-K flagged that the ERP rollout could divert management attention and negatively affect associate morale [3]. No specific voluntary turnover or tenure data available. Insider Buying (0/2): No evidence of meaningful net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Americold's infrastructure is weakened by REIT-related GAAP distortions and a declining revenue trajectory. D/E of 188.6% reflects heavy real estate leverage ($4.6B debt against $40M cash), scoring 0.48 against the 70% target [3]. ROE of -16.5% and profit margin of -17.5% both score 0.0, though REIT depreciation charges drive the GAAP losses — AFFO was $81.9M ($0.29/share) in Q1 2026, indicating the business generates positive cash flow [1]. Revenue declined from $2.91B (2022) to $2.60B (2025), yielding a negative 3-year CAGR of -3.7% (score 0.09) [3]. The dividend profile provides some support: payout ratio of 44% (score 0.93 based on AFFO), consecutive years paid of ~8 since IPO (score 0.80 at 2x weight), but minimal dividend growth — raised once from $0.22 to $0.23/quarter in 2025 with 5yr CAGR of ~1% (score 0.17 at 2x weight) [1][2]. Forward P/E is negative (excluded as meaningless). Daily dollar volume of $49.4M provides adequate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Americold operates as a finite player focused on quarterly operational metrics — occupancy rates, throughput, and EBITDA — rather than a cause-driven organization built to endure beyond its current business model. The company's 120+ year history reflects the durability of cold storage infrastructure rather than a deliberate strategic purpose, and recent leadership transitions and operational challenges (ERP migration, revenue decline) suggest an organization optimizing for near-term stabilization over long-term transformation.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Americold's purpose — supporting the safe movement of food worldwide — describes a functional role rather than a Just Cause in Sinek's framework [4]. It is not resilient beyond the cold storage business model, not particularly inclusive or idealistic, and does not describe a future state that does not yet exist. The company exists to store food in refrigerated warehouses; there is no articulated vision of transforming food systems or creating a fundamentally better future.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succession was planned and executed smoothly, suggesting adequate organizational stability [5]. However, the FY2025 10-K flagged that the ERP rollout could negatively affect associate morale, and the company's 12,690 employees in a labor-intensive warehouse operation face the typical pressures of industrial workforce management [3]. No evidence of exceptional trust or cultural practices that distinguish Americold from peers.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how Americold's leadership frames competition with Lineage Logistics or other cold storage operators. The competitive landscape is discussed in terms of market position and scale rather than learning from rivals' strengths [3].</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Americold has operated the same fundamental business model — temperature-controlled warehousing — for over a century. While the company has expanded geographically and invested in technology, it has not fundamentally reinvented itself or pivoted its business model in response to changing market conditions. The cold storage business is inherently stable but also inherently rigid [4].</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long-term decisions by leadership. The CEO succession from Chappelle to Chambers was framed as continuity, not transformation [5]. Revenue has declined for three consecutive years while the company maintains its dividend, suggesting optimization for income stability over investment in future capability. The ERP migration (Project Orion) is a necessary modernization rather than a bold strategic bet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Americold at $13.82 with a $3.96B market cap offers the highest dividend yield in the screen at 6.66% backed by the essential nature of temperature-controlled food logistics — cold storage infrastructure cannot be replicated by software, and food supply chains require physical refrigerated facilities regardless of economic cycle [1][4]. The company's 224 global facilities with 1.4B cubic feet of capacity represent a significant physical moat, Q2 2026 revenue of $662.9M beat estimates by 6.6%, and FY2026 Core EBITDA guidance of $570M-$620M implies improving operational efficiency under new CEO Robert Chambers [2][5]. AFFO of $81.9M in Q1 2026 confirms the business generates real cash flow despite GAAP losses driven by REIT depreciation.</w:t>
      </w:r>
    </w:p>
    <w:p>
      <w:pPr>
        <w:spacing w:after="120"/>
      </w:pPr>
      <w:r>
        <w:rPr>
          <w:rFonts w:ascii="Calibri" w:hAnsi="Calibri"/>
          <w:b w:val="0"/>
          <w:color w:val="3A4A28"/>
          <w:sz w:val="20"/>
        </w:rPr>
        <w:t>The bear case is significant: revenue has declined from $2.91B (2022) to $2.60B (2025), AFFO fell 14.7% YoY in Q1 2026 to $0.29/share, and forward EPS is -$0.21 indicating continued GAAP losses [1][3]. D/E of 188.6% with $4.6B in debt against just $40M cash creates balance sheet vulnerability if interest rates remain elevated. Lineage Logistics, backed by private equity, is investing aggressively in automation and could pressure occupancy rates and pricing. The dividend has barely grown — $0.23/quarter since Q1 2025 after years at $0.22 — and the 6.66% yield reflects price deterioration (stock down from $28 in 2022) rather than income growth. Project Orion ERP migration poses execution risk and management distraction [3][5].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Q2 2026 revenue beat of $662.9M vs $621.9M estimate signals potential inflection in occupancy and throughput trends, with FY2026 EBITDA guidance of $570M-$620M implying operational improvement under new leadership [2]</w:t>
      </w:r>
    </w:p>
    <w:p>
      <w:pPr>
        <w:spacing w:before="40" w:after="40"/>
        <w:ind w:left="283"/>
      </w:pPr>
      <w:r>
        <w:rPr>
          <w:rFonts w:ascii="Calibri" w:hAnsi="Calibri"/>
          <w:b/>
          <w:color w:val="4A6B25"/>
          <w:sz w:val="20"/>
        </w:rPr>
        <w:t xml:space="preserve">2. </w:t>
      </w:r>
      <w:r>
        <w:rPr>
          <w:rFonts w:ascii="Calibri" w:hAnsi="Calibri"/>
          <w:b w:val="0"/>
          <w:color w:val="3A4A28"/>
          <w:sz w:val="20"/>
        </w:rPr>
        <w:t>AI-driven energy management system reducing electricity costs through predictive demand-response and pre-cooling, with 400+ identified AI opportunities for productivity gains across the operation [3]</w:t>
      </w:r>
    </w:p>
    <w:p>
      <w:pPr>
        <w:spacing w:before="40" w:after="40"/>
        <w:ind w:left="283"/>
      </w:pPr>
      <w:r>
        <w:rPr>
          <w:rFonts w:ascii="Calibri" w:hAnsi="Calibri"/>
          <w:b/>
          <w:color w:val="4A6B25"/>
          <w:sz w:val="20"/>
        </w:rPr>
        <w:t xml:space="preserve">3. </w:t>
      </w:r>
      <w:r>
        <w:rPr>
          <w:rFonts w:ascii="Calibri" w:hAnsi="Calibri"/>
          <w:b w:val="0"/>
          <w:color w:val="3A4A28"/>
          <w:sz w:val="20"/>
        </w:rPr>
        <w:t>Essential infrastructure positioning — growing global food trade and cold chain requirements for pharmaceuticals, meal kits, and fresh grocery delivery create secular demand for temperature-controlled warehousing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has declined three consecutive years from $2.91B (2022) to $2.60B (2025), and AFFO decreased 14.7% YoY in Q1 2026, indicating fundamental demand or pricing challenges that new management has not yet reversed [1][3]</w:t>
      </w:r>
    </w:p>
    <w:p>
      <w:pPr>
        <w:spacing w:before="40" w:after="40"/>
        <w:ind w:left="283"/>
      </w:pPr>
      <w:r>
        <w:rPr>
          <w:rFonts w:ascii="Calibri" w:hAnsi="Calibri"/>
          <w:b/>
          <w:color w:val="4A6B25"/>
          <w:sz w:val="20"/>
        </w:rPr>
        <w:t xml:space="preserve">2. </w:t>
      </w:r>
      <w:r>
        <w:rPr>
          <w:rFonts w:ascii="Calibri" w:hAnsi="Calibri"/>
          <w:b w:val="0"/>
          <w:color w:val="3A4A28"/>
          <w:sz w:val="20"/>
        </w:rPr>
        <w:t>Balance sheet leverage of 188.6% D/E with $4.6B debt against $40M cash creates refinancing risk in a sustained higher-rate environment, potentially forcing dividend cuts or dilutive equity raises [3]</w:t>
      </w:r>
    </w:p>
    <w:p>
      <w:pPr>
        <w:spacing w:before="40" w:after="40"/>
        <w:ind w:left="283"/>
      </w:pPr>
      <w:r>
        <w:rPr>
          <w:rFonts w:ascii="Calibri" w:hAnsi="Calibri"/>
          <w:b/>
          <w:color w:val="4A6B25"/>
          <w:sz w:val="20"/>
        </w:rPr>
        <w:t xml:space="preserve">3. </w:t>
      </w:r>
      <w:r>
        <w:rPr>
          <w:rFonts w:ascii="Calibri" w:hAnsi="Calibri"/>
          <w:b w:val="0"/>
          <w:color w:val="3A4A28"/>
          <w:sz w:val="20"/>
        </w:rPr>
        <w:t>Lineage Logistics and other competitors investing in advanced automated storage and retrieval systems could offer superior service at lower cost, eroding Americold's market position and occupancy rates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Temperature-controlled warehousing is a physical-world infrastructure business that AI structurally cannot displace — refrigerated facilities require real buildings, refrigeration equipment, and physical handling of perishable goods [4]. AI-driven demand for data centers and computing infrastructure has no direct substitution effect on cold storage; if anything, supply chain digitization increases demand for sophisticated cold chain logistics. Americold's 1.4 billion cubic feet of refrigerated capacity and 224 global facilities represent a physical moat that no software can replicate. The primary competitive risk comes from Lineage Logistics and other operators investing in superior warehouse automation, but this is an efficiency competition, not an AI substitution threat [3]. AI Opportunity (0/1): While Americold has deployed AI internally for energy management and identified 400+ AI use cases, it generates no quantifiable revenue from AI products or services — AI is used as an operational efficiency tool, not a revenue stream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Americold Realty Trust Q1 2026 Earnings Release (8-K), Revenue $629.9M (+0.1% YoY), AFFO $81.9M ($0.29/share, -14.7% YoY), SEC Filing May 2026</w:t>
      </w:r>
    </w:p>
    <w:p>
      <w:pPr>
        <w:spacing w:before="20" w:after="20"/>
        <w:ind w:left="170"/>
      </w:pPr>
      <w:r>
        <w:rPr>
          <w:rFonts w:ascii="Calibri" w:hAnsi="Calibri"/>
          <w:b/>
          <w:color w:val="4A6B25"/>
          <w:sz w:val="15"/>
        </w:rPr>
        <w:t xml:space="preserve">2. </w:t>
      </w:r>
      <w:r>
        <w:rPr>
          <w:rFonts w:ascii="Calibri" w:hAnsi="Calibri"/>
          <w:b w:val="0"/>
          <w:color w:val="3A4A28"/>
          <w:sz w:val="17"/>
        </w:rPr>
        <w:t>Americold Realty Trust Q2 2026 Earnings, Revenue $662.9M (beating $621.9M estimate), FY2026 Core EBITDA guidance $570M-$620M, Benzinga August 2026</w:t>
      </w:r>
    </w:p>
    <w:p>
      <w:pPr>
        <w:spacing w:before="20" w:after="20"/>
        <w:ind w:left="170"/>
      </w:pPr>
      <w:r>
        <w:rPr>
          <w:rFonts w:ascii="Calibri" w:hAnsi="Calibri"/>
          <w:b/>
          <w:color w:val="4A6B25"/>
          <w:sz w:val="15"/>
        </w:rPr>
        <w:t xml:space="preserve">3. </w:t>
      </w:r>
      <w:r>
        <w:rPr>
          <w:rFonts w:ascii="Calibri" w:hAnsi="Calibri"/>
          <w:b w:val="0"/>
          <w:color w:val="3A4A28"/>
          <w:sz w:val="17"/>
        </w:rPr>
        <w:t>Americold Realty Trust FY2025 10-K Filing, Revenue $2.60B (-2.4% YoY), AI risk factors, ERP migration risks, SEC Filing 2026</w:t>
      </w:r>
    </w:p>
    <w:p>
      <w:pPr>
        <w:spacing w:before="20" w:after="20"/>
        <w:ind w:left="170"/>
      </w:pPr>
      <w:r>
        <w:rPr>
          <w:rFonts w:ascii="Calibri" w:hAnsi="Calibri"/>
          <w:b/>
          <w:color w:val="4A6B25"/>
          <w:sz w:val="15"/>
        </w:rPr>
        <w:t xml:space="preserve">4. </w:t>
      </w:r>
      <w:r>
        <w:rPr>
          <w:rFonts w:ascii="Calibri" w:hAnsi="Calibri"/>
          <w:b w:val="0"/>
          <w:color w:val="3A4A28"/>
          <w:sz w:val="17"/>
        </w:rPr>
        <w:t>Americold Corporate Website — Mission statement, 224 facilities, 1.4B cubic feet capacity, Sustainalytics ESG Risk Score 14.4 (Low), accessed October 2026</w:t>
      </w:r>
    </w:p>
    <w:p>
      <w:pPr>
        <w:spacing w:before="20" w:after="20"/>
        <w:ind w:left="170"/>
      </w:pPr>
      <w:r>
        <w:rPr>
          <w:rFonts w:ascii="Calibri" w:hAnsi="Calibri"/>
          <w:b/>
          <w:color w:val="4A6B25"/>
          <w:sz w:val="15"/>
        </w:rPr>
        <w:t xml:space="preserve">5. </w:t>
      </w:r>
      <w:r>
        <w:rPr>
          <w:rFonts w:ascii="Calibri" w:hAnsi="Calibri"/>
          <w:b w:val="0"/>
          <w:color w:val="3A4A28"/>
          <w:sz w:val="17"/>
        </w:rPr>
        <w:t>Americold CEO Transition — Robert S. Chambers appointed CEO September 2025 replacing George Chappelle, TipRanks/AJOT, August-September 2025</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