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COTY</w:t>
      </w:r>
      <w:r>
        <w:rPr>
          <w:rFonts w:ascii="Calibri" w:hAnsi="Calibri"/>
          <w:b/>
          <w:color w:val="1A2010"/>
          <w:sz w:val="40"/>
        </w:rPr>
        <w:t xml:space="preserve">  Coty Inc.</w:t>
      </w:r>
    </w:p>
    <w:p>
      <w:pPr>
        <w:spacing w:after="120"/>
      </w:pPr>
      <w:r>
        <w:rPr>
          <w:rFonts w:ascii="Calibri" w:hAnsi="Calibri"/>
          <w:b/>
          <w:color w:val="6E8450"/>
          <w:sz w:val="18"/>
        </w:rPr>
        <w:t>GROWTH SLEEVE · 2026-10-14 · Inspire: -67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Household &amp; Personal Products · NYSE · United States</w:t>
      </w:r>
    </w:p>
    <w:p>
      <w:pPr>
        <w:spacing w:after="80"/>
      </w:pPr>
      <w:r>
        <w:rPr>
          <w:rFonts w:ascii="Calibri" w:hAnsi="Calibri"/>
          <w:b w:val="0"/>
          <w:color w:val="3A4A28"/>
          <w:sz w:val="20"/>
        </w:rPr>
        <w:t>Coty Inc. manufactures and markets beauty products worldwide across Prestige and Consumer Beauty segments, with brands including Burberry, Calvin Klein, Hugo Boss, CoverGirl, Max Factor, and Rimmel. The company is the world's largest fragrance company by revenue. FY2026 (ended June 2026) revenue was $5.81B, down 2% YoY on a reported basis and 5% like-for-like, with a net loss reflecting negative 10.4% profit margin. Headquartered in New York, Coty is conducting a strategic review of its Consumer Beauty division and faces the exit of its Gucci fragrance license in FY2028.</w:t>
      </w:r>
    </w:p>
    <w:p>
      <w:r>
        <w:rPr>
          <w:rFonts w:ascii="Calibri" w:hAnsi="Calibri"/>
          <w:b/>
          <w:color w:val="6E8450"/>
          <w:sz w:val="18"/>
        </w:rPr>
        <w:t>11,800 Employees · https://www.coty.com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Coty has not executed any meaningful product launches, market pivots, or business model transformations in the last five years — the business looks fundamentally the same as five years ago, except weaker, with FY2026 LFL revenue declining 5% and the company now losing its Gucci fragrance license, one of its most valuable prestige brands [1][4]. Three CEO changes in two years (Sue Nabi departed, interim replacements, now Markus Strobel as Interim CEO) signal strategic instability, not innovation [3]. AI Deployment (0/2): No evidence of AI-powered products, AI-driven customer experiences, or quantified AI cost savings across Coty's operations [3]. Market Share (1/2): Coty maintains meaningful positions in prestige fragrance (Burberry, Calvin Klein, Hugo Boss) and mass beauty (CoverGirl, Max Factor, Rimmel), making it a relevant player in global beauty, but the company is losing share — LFL sales declined 5% for FY2026 and the Gucci license exit will remove a major revenue stream starting FY2028 [1][2][4]. Product Pipeline (0/2): No next-generation products or launches announced with specific timelines; the strategic review of Consumer Beauty signals potential divestitures rather than new growth initiatives [4]. R&amp;D Intensity (0/1): No evidence of above-average R&amp;D spending relative to beauty and personal care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Coty's stated purpose around 'celebrating and liberating the diversity of beauty' exists but is generic and interchangeable with any beauty company — L'Oreal, Estee Lauder, or Revlon could use the same words without changing anything about their strategy [4]. Community Impact (1/2): Coty maintains a Chief Scientific &amp; Sustainability Officer overseeing ESG strategy, publishes sustainability reports, and has general environmental commitments, but lacks distinctive community programs or specific charitable investment with dollar amounts cited [6]. Employee Retention (0/2): Glassdoor at 3.4/5 for culture/values with 64% of employees recommending the company to a friend — below average for consumer goods. Three CEO changes in two years has created organizational instability, with Glassdoor reviews describing lack of direction and 'toxic work culture' under prior leadership [5]. Insider Buying (0/2): No evidence of meaningful net insider buying by any Coty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Coty's forward P/E of 12.0 is well below the 20 target (score 1.0), reflecting significant pessimism already priced in [1]. D/E of 97.5% scores 0.88, above the 70% target but within manageable range. Revenue growth of 1.3% YoY (score 0.71) is anemic, and the 5-year revenue CAGR of approximately 5% (score 0.67, 2x weight) reflects modest recovery from COVID lows rather than organic strength [1][2]. ROE of -16.1% scores 0 (2x weight) as the company is destroying equity value, and profit margin of -10.4% scores 0 — Coty is unprofitable on a GAAP basis [1]. PEG ratio unavailable — excluded. Daily dollar volume of $20.4M provides adequate but not deep liquidity for the $2.57B market cap.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Coty is playing a finite game — optimizing for quarterly survival rather than building to endure. Three CEO changes in two years, a strategic review that signals confusion about which businesses to keep, the loss of the Gucci fragrance license, and a declining LFL revenue trajectory paint a picture of a company without a clear vision of its future. There is no evidence of a Just Cause that has been validated through consistent execution, no pattern of courageous leadership decisions, and organizational instability has eroded trust. The strategic review of Consumer Beauty could represent existential flexibility, but it reads more as defensive restructuring than purpose-driven reinvention.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Coty has a purpose statement around celebrating beauty diversity, but it reads as marketing rather than a genuine cause that shapes strategic decisions — the company has cycled through three CEOs in two years, lost its Gucci license, and is now reviewing whether to keep its Consumer Beauty division, none of which trace back to a unifying purpose [3][4]. Leadership doesn't reference the mission in strategic discussions; the focus is on margin improvement and portfolio rationalization.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Coty exhibits a low-trust environment. Three CEO changes in two years creates maximum organizational instability, with employees unable to build trust with leadership that keeps changing [3][5]. Glassdoor reviews describe 'toxic work culture' and lack of direction, with only 64% recommending the company to a friend — below the consumer goods industry average. The constant leadership churn means people are protecting themselves rather than advancing any collective cause.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Coty's competitive positioning is defensive — trying to protect share in categories where L'Oreal and Estee Lauder are investing in AI-driven beauty tech, digital experiences, and R&amp;D that Coty cannot match [1][4]. No management commentary frames competition as an opportunity to improve rather than a threat to survive.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strategic review of Consumer Beauty, which represents roughly 40% of revenue, signals at least a willingness to consider fundamental portfolio restructuring — Coty may exit mass-market beauty entirely to focus on prestige fragrances [4]. This is incremental adaptation rather than transformative reinvention, and it appears driven by declining performance rather than a Just Cause demanding change, but it does represent meaningful strategic evolution if executed.</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at Coty. Three CEO changes in two years suggests a board optimizing for near-term fixes rather than committing to a long-term vision [3]. The strategic review of Consumer Beauty is reactive (responding to declining sales) rather than proactive, and the Gucci license loss was not a choice but a failure to retain a key partner [4]. New Interim CEO Markus Strobel is a 33-year P&amp;G veteran who may bring stability, but it's too early to evaluate his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Coty at $2.92 with a $2.57B market cap trades at just 12.0x forward earnings, pricing in significant pessimism about the company's turnaround prospects. FY2026 generated $5.81B in revenue with $538M operating cash flow and $348M free cash flow despite the top-line decline, suggesting the business still generates cash even in a downturn [1]. New Interim CEO Markus Strobel brings 33 years of P&amp;G experience in global skin and personal care, and the strategic review of Consumer Beauty could unlock value through divestiture or refocused investment [3][4]. The Prestige segment (Burberry, Calvin Klein, Hugo Boss fragrances) remains the company's strength, and a leaner, prestige-focused Coty could command a higher multiple.</w:t>
      </w:r>
    </w:p>
    <w:p>
      <w:pPr>
        <w:spacing w:after="120"/>
      </w:pPr>
      <w:r>
        <w:rPr>
          <w:rFonts w:ascii="Calibri" w:hAnsi="Calibri"/>
          <w:b w:val="0"/>
          <w:color w:val="3A4A28"/>
          <w:sz w:val="20"/>
        </w:rPr>
        <w:t>The bear case is severe and multifaceted. Coty is unprofitable on a GAAP basis with a -10.4% profit margin and -16.1% ROE, meaning the company is destroying equity value [1]. Three CEO changes in two years signals deep organizational dysfunction, and Interim CEO Strobel's permanent appointment is uncertain [3]. FY2026 LFL revenue declined 5%, with the core business shrinking even before the Gucci license exit, which will remove a material revenue stream starting FY2028 [1][4]. D/E of 97.5% adds financial risk to an already challenged operating profile. Management guided FY2027 Q1 revenue to decline by a low-to-mid single-digit percentage, with FY2027 described as a 'transition year' — code for continued challenges [4]. Competitors L'Oreal and Estee Lauder are investing heavily in AI-driven beauty technology and digital experiences while Coty has no visible AI strategy, risking further share loss in a digitally evolving 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Strategic review of Consumer Beauty division (~40% of revenue) could result in a value-unlocking divestiture, allowing Coty to become a leaner, pure-play prestige fragrance company with higher margins [4]</w:t>
      </w:r>
    </w:p>
    <w:p>
      <w:pPr>
        <w:spacing w:before="40" w:after="40"/>
        <w:ind w:left="283"/>
      </w:pPr>
      <w:r>
        <w:rPr>
          <w:rFonts w:ascii="Calibri" w:hAnsi="Calibri"/>
          <w:b/>
          <w:color w:val="4A6B25"/>
          <w:sz w:val="20"/>
        </w:rPr>
        <w:t xml:space="preserve">2. </w:t>
      </w:r>
      <w:r>
        <w:rPr>
          <w:rFonts w:ascii="Calibri" w:hAnsi="Calibri"/>
          <w:b w:val="0"/>
          <w:color w:val="3A4A28"/>
          <w:sz w:val="20"/>
        </w:rPr>
        <w:t>Markus Strobel's 33-year P&amp;G leadership background brings operational discipline and stability to a company that desperately needs both — if appointed permanently, he could arrest the leadership instability [3]</w:t>
      </w:r>
    </w:p>
    <w:p>
      <w:pPr>
        <w:spacing w:before="40" w:after="40"/>
        <w:ind w:left="283"/>
      </w:pPr>
      <w:r>
        <w:rPr>
          <w:rFonts w:ascii="Calibri" w:hAnsi="Calibri"/>
          <w:b/>
          <w:color w:val="4A6B25"/>
          <w:sz w:val="20"/>
        </w:rPr>
        <w:t xml:space="preserve">3. </w:t>
      </w:r>
      <w:r>
        <w:rPr>
          <w:rFonts w:ascii="Calibri" w:hAnsi="Calibri"/>
          <w:b w:val="0"/>
          <w:color w:val="3A4A28"/>
          <w:sz w:val="20"/>
        </w:rPr>
        <w:t>Forward P/E of 12.0x on $348M FCF suggests significant pessimism already priced in — any stabilization in LFL trends or successful Consumer Beauty transaction could drive meaningful rerating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Gucci fragrance license exit in FY2028 removes a material prestige revenue stream with no announced replacement, shrinking the company's most valuable segment at a time when it can least afford it [4]</w:t>
      </w:r>
    </w:p>
    <w:p>
      <w:pPr>
        <w:spacing w:before="40" w:after="40"/>
        <w:ind w:left="283"/>
      </w:pPr>
      <w:r>
        <w:rPr>
          <w:rFonts w:ascii="Calibri" w:hAnsi="Calibri"/>
          <w:b/>
          <w:color w:val="4A6B25"/>
          <w:sz w:val="20"/>
        </w:rPr>
        <w:t xml:space="preserve">2. </w:t>
      </w:r>
      <w:r>
        <w:rPr>
          <w:rFonts w:ascii="Calibri" w:hAnsi="Calibri"/>
          <w:b w:val="0"/>
          <w:color w:val="3A4A28"/>
          <w:sz w:val="20"/>
        </w:rPr>
        <w:t>Three CEO changes in two years and GAAP losses suggest a company in structural decline — -10.4% profit margin and -16.1% ROE mean the turnaround has not yet begun despite years of restructuring efforts [1][3]</w:t>
      </w:r>
    </w:p>
    <w:p>
      <w:pPr>
        <w:spacing w:before="40" w:after="40"/>
        <w:ind w:left="283"/>
      </w:pPr>
      <w:r>
        <w:rPr>
          <w:rFonts w:ascii="Calibri" w:hAnsi="Calibri"/>
          <w:b/>
          <w:color w:val="4A6B25"/>
          <w:sz w:val="20"/>
        </w:rPr>
        <w:t xml:space="preserve">3. </w:t>
      </w:r>
      <w:r>
        <w:rPr>
          <w:rFonts w:ascii="Calibri" w:hAnsi="Calibri"/>
          <w:b w:val="0"/>
          <w:color w:val="3A4A28"/>
          <w:sz w:val="20"/>
        </w:rPr>
        <w:t>Competitive gap widening as L'Oreal and Estee Lauder invest in AI-powered beauty tech, digital personalization, and DTC channels while Coty has no visible technology or innovation strategy to maintain relevance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Coty's core business is manufacturing and selling physical beauty products — fragrances, cosmetics, and skin care — that AI structurally cannot replace; consumers will continue purchasing physical lipstick, perfume, and foundation regardless of AI advances [1][4]. The business involves physical supply chains, chemical formulation, and brand licensing that create meaningful defensive moats. However, Coty is not fully IMMUNE because AI is reshaping beauty marketing and e-commerce (personalized recommendations, virtual try-on from competitors like L'Oreal's AI tools), and Coty's lack of AI investment creates competitive risk in digital consumer engagement [3]. AI Opportunity (0/1): No evidence of AI-related revenue, AI-powered products, or quantified AI deployments across Coty's business. The company has no visible AI strategy while competitors invest heavily in AI-driven beauty tech.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Coty Q4 FY2026 Earnings Release — FY2026 Revenue $5,806.6M (-2% reported, -5% LFL), Q4 Revenue $1,269.2M (+1%), FCF $348M, August 2026</w:t>
      </w:r>
    </w:p>
    <w:p>
      <w:pPr>
        <w:spacing w:before="20" w:after="20"/>
        <w:ind w:left="170"/>
      </w:pPr>
      <w:r>
        <w:rPr>
          <w:rFonts w:ascii="Calibri" w:hAnsi="Calibri"/>
          <w:b/>
          <w:color w:val="4A6B25"/>
          <w:sz w:val="15"/>
        </w:rPr>
        <w:t xml:space="preserve">2. </w:t>
      </w:r>
      <w:r>
        <w:rPr>
          <w:rFonts w:ascii="Calibri" w:hAnsi="Calibri"/>
          <w:b w:val="0"/>
          <w:color w:val="3A4A28"/>
          <w:sz w:val="17"/>
        </w:rPr>
        <w:t>Coty Q3 FY2026 Earnings Release — Revenue $1,281.6M (-1% reported, -7% LFL), 1.4% Middle East conflict headwind, May 2026</w:t>
      </w:r>
    </w:p>
    <w:p>
      <w:pPr>
        <w:spacing w:before="20" w:after="20"/>
        <w:ind w:left="170"/>
      </w:pPr>
      <w:r>
        <w:rPr>
          <w:rFonts w:ascii="Calibri" w:hAnsi="Calibri"/>
          <w:b/>
          <w:color w:val="4A6B25"/>
          <w:sz w:val="15"/>
        </w:rPr>
        <w:t xml:space="preserve">3. </w:t>
      </w:r>
      <w:r>
        <w:rPr>
          <w:rFonts w:ascii="Calibri" w:hAnsi="Calibri"/>
          <w:b w:val="0"/>
          <w:color w:val="3A4A28"/>
          <w:sz w:val="17"/>
        </w:rPr>
        <w:t>BusinessWire: Coty Appoints Markus Strobel Executive Chairman and Interim CEO — 33-year P&amp;G veteran, December 2025</w:t>
      </w:r>
    </w:p>
    <w:p>
      <w:pPr>
        <w:spacing w:before="20" w:after="20"/>
        <w:ind w:left="170"/>
      </w:pPr>
      <w:r>
        <w:rPr>
          <w:rFonts w:ascii="Calibri" w:hAnsi="Calibri"/>
          <w:b/>
          <w:color w:val="4A6B25"/>
          <w:sz w:val="15"/>
        </w:rPr>
        <w:t xml:space="preserve">4. </w:t>
      </w:r>
      <w:r>
        <w:rPr>
          <w:rFonts w:ascii="Calibri" w:hAnsi="Calibri"/>
          <w:b w:val="0"/>
          <w:color w:val="3A4A28"/>
          <w:sz w:val="17"/>
        </w:rPr>
        <w:t>Coty FY2026 10-K — Strategic review of Consumer Beauty, Gucci license exit FY2028, FY2027 'transition year' guidance, July 2026</w:t>
      </w:r>
    </w:p>
    <w:p>
      <w:pPr>
        <w:spacing w:before="20" w:after="20"/>
        <w:ind w:left="170"/>
      </w:pPr>
      <w:r>
        <w:rPr>
          <w:rFonts w:ascii="Calibri" w:hAnsi="Calibri"/>
          <w:b/>
          <w:color w:val="4A6B25"/>
          <w:sz w:val="15"/>
        </w:rPr>
        <w:t xml:space="preserve">5. </w:t>
      </w:r>
      <w:r>
        <w:rPr>
          <w:rFonts w:ascii="Calibri" w:hAnsi="Calibri"/>
          <w:b w:val="0"/>
          <w:color w:val="3A4A28"/>
          <w:sz w:val="17"/>
        </w:rPr>
        <w:t>Coty Glassdoor Reviews — 64% recommend, 3.4/5 culture/values, leadership instability cited, 2024-2026</w:t>
      </w:r>
    </w:p>
    <w:p>
      <w:pPr>
        <w:spacing w:before="20" w:after="20"/>
        <w:ind w:left="170"/>
      </w:pPr>
      <w:r>
        <w:rPr>
          <w:rFonts w:ascii="Calibri" w:hAnsi="Calibri"/>
          <w:b/>
          <w:color w:val="4A6B25"/>
          <w:sz w:val="15"/>
        </w:rPr>
        <w:t xml:space="preserve">6. </w:t>
      </w:r>
      <w:r>
        <w:rPr>
          <w:rFonts w:ascii="Calibri" w:hAnsi="Calibri"/>
          <w:b w:val="0"/>
          <w:color w:val="3A4A28"/>
          <w:sz w:val="17"/>
        </w:rPr>
        <w:t>Yahoo Finance Sustainalytics — Coty ESG Risk Score 27 (Medium), Moderate Controversy Level,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