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CPNG</w:t>
      </w:r>
      <w:r>
        <w:rPr>
          <w:rFonts w:ascii="Calibri" w:hAnsi="Calibri"/>
          <w:b/>
          <w:color w:val="1A2010"/>
          <w:sz w:val="40"/>
        </w:rPr>
        <w:t xml:space="preserve">  Coupang,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36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NYSE · South Korea /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Coupang operates South Korea's largest e-commerce platform with Rocket Delivery logistics, plus Eats food delivery, Taiwan commerce and Farfetch luxury. Q2 2026 net revenue was $8.9B (+4% reported, +10% constant currency) with a net loss following a major customer data incident.</w:t>
      </w:r>
    </w:p>
    <w:p>
      <w:r>
        <w:rPr>
          <w:rFonts w:ascii="Calibri" w:hAnsi="Calibri"/>
          <w:b/>
          <w:color w:val="6E8450"/>
          <w:sz w:val="18"/>
        </w:rPr>
        <w:t>https://www.aboutcoupang.com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Coupang built Rocket Delivery fulfillment and expanded into Eats and Taiwan, where Developing Offerings revenue grew 24% constant currency in Q2 2026 to $1.4B [1]. AI Deployment (1/2): AI sorting robots, automated guided vehicles and generative-AI personalization are in operation, but no quantified AI savings are reported [2]. Market Share (2/2): Category leader in Korean e-commerce. Pipeline (1/2): Taiwan and Eats expansion are named but timelines are loose. R&amp;D Intensity (1/1): Technology spend is above retail peers, and $84M+ has been invested in AI startups since 2023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'wow the customer' mission is clear but not distinctive from other retailers. Community (1/2): General corporate philanthropy and ESG reporting, with no standout dollar-quantified program [3]. Employee Retention (0/2): Glassdoor shows 2.7/5 on culture and senior management, 54% would recommend, and a 'golden cage' pay-for-grind reputation [2]. Insider Buying (0/2): No net insider buying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Growth sleeve, mechanical. D/E 188.6% (0.48), ROE -20.0% (0.0, 2x), revenue growth 3.9% (0.80), 5yr revenue CAGR ~23% (1.0, 2x, estimated from reported revenue history), forward P/E 50.6 (0.24), profit margin -2.2% (0.0); PEG unavailable and excluded. Weighted 3.52 of 8 gives 4. Daily dollar volume of about $239M clears the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Coupang invests heavily in logistics for long-term customer loyalty, but its cause reads as a retail mission rather than a Just Cause, the culture is described as top-down and high-pressure, and competitive framing is share-driven.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customer-obsession purpose is real but interchangeable with other retailers and not shown to survive crisis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describes top-down decisions, shouting and shaming in meetings, 2.6/5 work-life balance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Competes on share and speed, and was fined for favoring its own products over supplier listings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from marketplace to owned logistics, Eats, Taiwan and luxury, but changes were incremental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Years of losses to build Rocket Delivery before profitability, and continued Taiwan and Eats investment while margins compress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Coupang is Korea's dominant e-commerce platform with $8.9B quarterly revenue growing 10% in constant currency, Developing Offerings (Eats, Taiwan) up 24%, and returning customers back to record spend after the data incident [1]. Rocket Delivery logistics density and AI-driven automation provide a durable moat, and growth is strong on a constant-currency basis.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profitability: Q1 2026 posted a $266M net loss and trailing losses reached $767M, ROE is -20%, D/E is 188.6%, and forward P/E is 50.6 on thin earnings [1]. A weak won cuts reported growth by about 600bps, a customer data breach and search-manipulation fine raise regulatory and trust costs, and Glassdoor shows a strained culture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Margin recovery as Taiwan and Eats scale; Developing Offerings grew 24% constant currency to $1.4B in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Product Commerce reacceleration as returning customers resume record spend after the data incident (+8% constant currency)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fulfillment automation (sorting robots, AGVs) lowering unit costs in the Rocket network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net losses ($266M Q1 2026, $767M TTM) and 188.6% D/E limit financial flexibility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Korean regulatory and legal exposure from the customer data incident and the 3.29B won KFTC fine over search ranking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Weak won suppresses reported growth (4% reported vs 10% constant currency) and toxic-culture reviews risk talent attrition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Physical logistics, fulfillment density and Korean consumer habits are hard for AI to substitute, and AI is an efficiency tool via robotics and personalization [2]. Analysts flag search-algorithm manipulation (KFTC fine of 3.29B won) and AI-model risk rather than displacement. AI Opportunity (0/1): No quantified AI revenue is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Coupang Q1 and Q2 2026 earnings releases and Investing.com summaries,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Coupang reviews; Coupang AI startup investments (aboutcoupang.com); AI Incident Database #435,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Coupang FY2025 Form 10-K and ESG disclosures, SustainabilityTracker,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