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CPT</w:t>
      </w:r>
      <w:r>
        <w:rPr>
          <w:rFonts w:ascii="Calibri" w:hAnsi="Calibri"/>
          <w:b/>
          <w:color w:val="1A2010"/>
          <w:sz w:val="40"/>
        </w:rPr>
        <w:t xml:space="preserve">  Camden Property Trust</w:t>
      </w:r>
    </w:p>
    <w:p>
      <w:pPr>
        <w:spacing w:after="120"/>
      </w:pPr>
      <w:r>
        <w:rPr>
          <w:rFonts w:ascii="Calibri" w:hAnsi="Calibri"/>
          <w:b/>
          <w:color w:val="6E8450"/>
          <w:sz w:val="18"/>
        </w:rPr>
        <w:t>DIVIDEND SLEEVE · 2026-09-25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Camden Property Trust is an S&amp;P 500 multifamily REIT that owns, manages, develops, and operates apartment communities across the United States. As of mid-2026, Camden holds interests in approximately 177 properties with nearly 60,000 apartment homes, concentrated in Sun Belt markets including Houston, Dallas, Phoenix, Nashville, Tampa, and Atlanta. In July 2026, Camden executed a transformative $1.625B exit from California to double down on Sun Belt growth, while repurchasing $694M of its own shares. New CEO Alex Jessett succeeded co-founder Ric Campo in 2025.</w:t>
      </w:r>
    </w:p>
    <w:p>
      <w:r>
        <w:rPr>
          <w:rFonts w:ascii="Calibri" w:hAnsi="Calibri"/>
          <w:b/>
          <w:color w:val="6E8450"/>
          <w:sz w:val="18"/>
        </w:rPr>
        <w:t>1,640 Employees · https://www.camdenliving.com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Camden's $1.625B California exit and redeployment into younger Sun Belt assets represents significant portfolio repositioning, but the core business model — owning and managing apartments — remains unchanged [1]. The company sold 19-year-old California assets and bought 5-year-old Sun Belt properties, optimizing geography without transforming operations. AI Deployment (1/2): Camden has deployed AI for tenant screening (analyzing applications, credit scores, rental histories), predictive maintenance (forecasting equipment failures from historical data), and operational efficiency across its portfolio; leadership sees 'benefits to using AI in every single line item on an income statement,' though specific cost savings have not been publicly quantified [2]. Market Share (1/2): Camden is a meaningful S&amp;P 500 multifamily REIT with ~60,000 units across the Sun Belt, but it is one of several major apartment REITs (AvalonBay, Equity Residential, MAA) without dominant market share in any metro [1]. Product Pipeline (1/2): Three communities under development adding approximately 1,162 units provide near-term growth visibility, but the pipeline is modest relative to the 60,000-unit existing portfolio. R&amp;D Intensity (0/1): REITs do not have traditional R&amp;D spending; Camden's technology investment is at industry standard for multifamily operators.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Camden's purpose centers on creating exceptional living experiences and building thriving communities — clear and identifies what the company does but not distinctive enough to differentiate from peer apartment REITs [2]. It does not articulate a transformative vision beyond providing quality housing. Community Impact (1/2): Camden maintains ESG programs covering energy reduction, waste diversion, and water conservation, earning a Sustainalytics ESG Risk Score of 16 (Low) with low controversy level [3]. However, specific dollar amounts for charitable giving or community investment were not identified. Employee Retention (2/2): Camden is consistently ranked among Fortune's 100 Best Companies to Work For (#25 Glassdoor Employees' Choice Award for large U.S. companies), with employees rating 4.7/5 for culture and values [2]. Co-founder Ric Campo's 30+ year tenure created a leadership culture that employees describe as consistent with a coaching approach and focused on recognizing good work. Insider Buying (0/2): Richard Campo sold approximately 45,000 shares on-market in February 2026, reducing personal holdings by $6.3M — net insider selling over the past 12 months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REIT depreciation accounting distorts Forward P/E (89.4x) and payout ratio (139.3%) — on a Core FFO basis, the stock trades at approximately 17-18x FFO and the dividend is well-covered, but the IOWN rubric applies GAAP metrics mechanically [4]. D/E of 125.6% scores 0.76 against the target. ROE of 7.9% is below the 15% target, reflecting REIT capital structure (scoring 0.53). Revenue growth YoY of -0.8% and 5yr CAGR of ~3.5% reflect the near-zero growth environment with guided same-store revenue growth of 0.5% excluding California [1]. Profit margin of 20.6% just meets the 20% target. The dividend profile provides meaningful support: 33 consecutive years of payments (scoring 1.0 at 2x weight), 5 consecutive years of growth, and 5yr dividend growth CAGR of ~6% meeting the target (scoring 1.0 at 2x weight). Liquidity passes at $95M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Camden exhibits strong infinite-game qualities: a founder-CEO (Ric Campo) whose 30+ year tenure built one of America's best corporate cultures (Fortune 100 Best Companies), an orderly leadership succession to Alex Jessett, and 33 consecutive years of dividend payments. The $1.625B California exit demonstrates strategic flexibility — willingness to walk away from a $1.5B+ market that no longer aligned with the company's operational philosophy. The $53M RealPage antitrust settlement remains a governance blemish, but the cultural foundation and leadership continuity suggest an organization built to endure.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Camden's purpose of creating exceptional living communities has been validated by three decades of consistent execution under co-founder Ric Campo's leadership [2]. The company's focus on resident experience and community-building goes beyond pure financial optimization — evidenced by consistent recognition as a top employer and investment in community amenities that prioritize quality of life. CEO Jessett's continuation of this philosophy and the principled California exit (citing regulatory burden) demonstrate the cause shaping strategic decisions. However, the purpose has not been tested through truly existential crisis.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Exceptional evidence of a high-trust organization. Camden has been named to Fortune's 100 Best Companies to Work For list repeatedly and earned the #25 Glassdoor Employees' Choice Award for large U.S. companies, with 4.7/5 culture and values ratings [2]. Employee reviews describe leadership as 'consistent throughout Camden' with a 'coaching approach' focused on recognizing good work and providing growth opportunities. Ric Campo's philosophy of empowering people created genuine psychological safety. This is one of the strongest Trusting Teams scores in the IOWN universe.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Camden's management discusses peer REITs like AvalonBay, Equity Residential, and MAA in terms of market positioning and strategic differentiation rather than zero-sum competitive language [1]. The California exit and Sun Belt focus reflect strategic self-awareness informed by competitive dynamics — playing to strengths rather than attempting to dominate all markets.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$1.625B California exit represents a meaningful strategic pivot — Camden walked away from an entire major market, selling all 11 California properties and reinvesting in younger Sun Belt assets [1]. Co-founder Campo characterized it as selling '19-year-old assets in California and buying 5-year-old assets in the Sun Belt while repurchasing stock at a massive discount to NAV.' While the core REIT business model is unchanged, the geographic repositioning demonstrates willingness to make bold portfolio decisions. The REIT structure inherently constrains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California exit required courage — walking away from a $1.625B market to escape regulatory burden, while simultaneously deploying $694M in share buybacks at perceived NAV discounts [1]. Camden maintained dividends through the 2008-2009 financial crisis and has grown them every year since 2021. However, the $53M antitrust settlement over alleged use of RealPage algorithmic pricing to coordinate rents represents a governance blemish that partially offsets the positive track record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Camden Property Trust offers a high-quality, Sun Belt-focused multifamily portfolio backed by one of the best corporate cultures in America (Fortune 100 Best Companies, Glassdoor #25) and 33 consecutive years of dividend payments at a 4.35% yield — elevated from the 14% share price decline to $97.41 [2][4]. The $1.625B California exit — selling 11 properties and redeploying into younger Sun Belt assets — reduces regulatory drag by approximately 80 basis points of annual NOI [1]. The concurrent $694M share buyback at an average $105.17/share was executed near current price levels. Exposure to Sun Belt markets positioned near AI infrastructure build-out (Dallas, Houston, Phoenix) provides secular tailwind from technology-driven population migration. The orderly CEO succession from Campo to Jessett ensures cultural and strategic continuity. The Inspire Impact Score of 42 (ALIGNED) supports faith-based allocation.</w:t>
      </w:r>
    </w:p>
    <w:p>
      <w:pPr>
        <w:spacing w:after="120"/>
      </w:pPr>
      <w:r>
        <w:rPr>
          <w:rFonts w:ascii="Calibri" w:hAnsi="Calibri"/>
          <w:b w:val="0"/>
          <w:color w:val="3A4A28"/>
          <w:sz w:val="20"/>
        </w:rPr>
        <w:t>The bear case centers on deteriorating fundamentals and supply-driven rent pressure. Q2 2026 blended lease rate growth was negative 0.2% (new leases -3.3%, renewals +2.8%), and same-store revenue growth guidance of 0.5% excluding California indicates a near-zero growth environment [1]. Revenue declined 0.8% YoY with earnings down 75.7%, and the GAAP payout ratio of 139% exceeds earnings (though covered by FFO). The Forward P/E of 89.4x on depressed GAAP earnings reflects REIT depreciation distortion but also weak underlying growth. Elevated apartment supply deliveries in Austin and Denver continue to pressure rents and occupancy in key markets. D/E of 125.6% creates interest rate sensitivity, and higher-for-longer rates compress the spread between Camden's 4.35% yield and risk-free alternatives. The $53M RealPage antitrust settlement raises governance questions with potential for further legal exposure from ongoing industry-wide litigation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Sun Belt apartment supply wave expected to peak in 2026 and decline sharply in 2027-2028, which should improve pricing power and restore positive blended lease rate growth across Camden's core markets [1]</w:t>
      </w:r>
    </w:p>
    <w:p>
      <w:pPr>
        <w:spacing w:before="40" w:after="40"/>
        <w:ind w:left="283"/>
      </w:pPr>
      <w:r>
        <w:rPr>
          <w:rFonts w:ascii="Calibri" w:hAnsi="Calibri"/>
          <w:b/>
          <w:color w:val="4A6B25"/>
          <w:sz w:val="20"/>
        </w:rPr>
        <w:t xml:space="preserve">2. </w:t>
      </w:r>
      <w:r>
        <w:rPr>
          <w:rFonts w:ascii="Calibri" w:hAnsi="Calibri"/>
          <w:b w:val="0"/>
          <w:color w:val="3A4A28"/>
          <w:sz w:val="20"/>
        </w:rPr>
        <w:t>AI infrastructure build-out driving technology employment growth in Camden's Sun Belt markets (Dallas, Houston, Phoenix, Nashville), accelerating population migration and apartment demand near major tech campuses</w:t>
      </w:r>
    </w:p>
    <w:p>
      <w:pPr>
        <w:spacing w:before="40" w:after="40"/>
        <w:ind w:left="283"/>
      </w:pPr>
      <w:r>
        <w:rPr>
          <w:rFonts w:ascii="Calibri" w:hAnsi="Calibri"/>
          <w:b/>
          <w:color w:val="4A6B25"/>
          <w:sz w:val="20"/>
        </w:rPr>
        <w:t xml:space="preserve">3. </w:t>
      </w:r>
      <w:r>
        <w:rPr>
          <w:rFonts w:ascii="Calibri" w:hAnsi="Calibri"/>
          <w:b w:val="0"/>
          <w:color w:val="3A4A28"/>
          <w:sz w:val="20"/>
        </w:rPr>
        <w:t>Share price decline of 14% to $97.41 (near 52-week low of $96.53) creates potential value entry point, with 4.35% dividend yield well above the 5-year average of 3.35% and buybacks executed at higher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Blended lease rate growth of -0.2% in Q2 2026 and guided same-store revenue growth of only 0.5% (ex-California) indicate a near-zero growth environment driven by elevated apartment supply in Austin, Denver, and other Sun Belt markets [1]</w:t>
      </w:r>
    </w:p>
    <w:p>
      <w:pPr>
        <w:spacing w:before="40" w:after="40"/>
        <w:ind w:left="283"/>
      </w:pPr>
      <w:r>
        <w:rPr>
          <w:rFonts w:ascii="Calibri" w:hAnsi="Calibri"/>
          <w:b/>
          <w:color w:val="4A6B25"/>
          <w:sz w:val="20"/>
        </w:rPr>
        <w:t xml:space="preserve">2. </w:t>
      </w:r>
      <w:r>
        <w:rPr>
          <w:rFonts w:ascii="Calibri" w:hAnsi="Calibri"/>
          <w:b w:val="0"/>
          <w:color w:val="3A4A28"/>
          <w:sz w:val="20"/>
        </w:rPr>
        <w:t>The $53M RealPage antitrust settlement over alleged algorithmic rent coordination creates reputational risk, and ongoing industry-wide litigation could result in additional legal exposure or regulatory scrutiny [3]</w:t>
      </w:r>
    </w:p>
    <w:p>
      <w:pPr>
        <w:spacing w:before="40" w:after="40"/>
        <w:ind w:left="283"/>
      </w:pPr>
      <w:r>
        <w:rPr>
          <w:rFonts w:ascii="Calibri" w:hAnsi="Calibri"/>
          <w:b/>
          <w:color w:val="4A6B25"/>
          <w:sz w:val="20"/>
        </w:rPr>
        <w:t xml:space="preserve">3. </w:t>
      </w:r>
      <w:r>
        <w:rPr>
          <w:rFonts w:ascii="Calibri" w:hAnsi="Calibri"/>
          <w:b w:val="0"/>
          <w:color w:val="3A4A28"/>
          <w:sz w:val="20"/>
        </w:rPr>
        <w:t>D/E of 125.6% and GAAP payout ratio of 139% create sensitivity to higher-for-longer interest rates, which increase financing costs on approximately $4.9B of debt and reduce the attractiveness of the 4.35% yield versus risk-free alternatives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Camden Property Trust owns and operates physical apartment buildings — AI cannot replace the fundamental human need for housing. Multifamily real estate is structurally immune to AI disruption: people require physical living spaces, and the ownership of real property behind regulatory, zoning, and capital barriers makes this business model impervious to digital substitution [1]. AI actually serves as a tailwind: growing AI infrastructure investment drives employment growth in Camden's Sun Belt markets (Dallas, Houston, Phoenix, Nashville), increasing apartment demand near technology hubs. No analysts flag AI as a disruption risk to residential REITs. AI Opportunity (0/1): While Camden uses AI operationally for tenant screening, predictive maintenance, and income statement optimization, it does not generate revenue from AI products or services sold to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Camden Property Trust Q2 2026 Earnings Call — California Exit for $1.625B, $694M Buyback, Blended Lease Growth -0.2%, FY2026 Guidance, Same-Store Revenue +0.5% ex-California, July-August 2026</w:t>
      </w:r>
    </w:p>
    <w:p>
      <w:pPr>
        <w:spacing w:before="20" w:after="20"/>
        <w:ind w:left="170"/>
      </w:pPr>
      <w:r>
        <w:rPr>
          <w:rFonts w:ascii="Calibri" w:hAnsi="Calibri"/>
          <w:b/>
          <w:color w:val="4A6B25"/>
          <w:sz w:val="15"/>
        </w:rPr>
        <w:t xml:space="preserve">2. </w:t>
      </w:r>
      <w:r>
        <w:rPr>
          <w:rFonts w:ascii="Calibri" w:hAnsi="Calibri"/>
          <w:b w:val="0"/>
          <w:color w:val="3A4A28"/>
          <w:sz w:val="17"/>
        </w:rPr>
        <w:t>Camden Property Trust Culture and AI — Fortune 100 Best Companies, Glassdoor #25 Employees' Choice, 4.7/5 Culture Rating, AI Deployment in Operations, Leadership Coaching Culture, 2026</w:t>
      </w:r>
    </w:p>
    <w:p>
      <w:pPr>
        <w:spacing w:before="20" w:after="20"/>
        <w:ind w:left="170"/>
      </w:pPr>
      <w:r>
        <w:rPr>
          <w:rFonts w:ascii="Calibri" w:hAnsi="Calibri"/>
          <w:b/>
          <w:color w:val="4A6B25"/>
          <w:sz w:val="15"/>
        </w:rPr>
        <w:t xml:space="preserve">3. </w:t>
      </w:r>
      <w:r>
        <w:rPr>
          <w:rFonts w:ascii="Calibri" w:hAnsi="Calibri"/>
          <w:b w:val="0"/>
          <w:color w:val="3A4A28"/>
          <w:sz w:val="17"/>
        </w:rPr>
        <w:t>Camden Property Trust ESG — Sustainalytics Low Risk Score 16, Low Controversy Level, RealPage Antitrust Settlement $53M,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CPT Key Statistics: Forward P/E 89.37x, ROE 7.89%, Profit Margin 20.62%, Dividend Yield 4.35%, Stock Price $97.41,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